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B694" w14:textId="77777777" w:rsidR="00296E09" w:rsidRPr="002A0CF6" w:rsidRDefault="00296E09" w:rsidP="00296E09">
      <w:pPr>
        <w:rPr>
          <w:rFonts w:ascii="Times New Roman" w:eastAsia="Times New Roman" w:hAnsi="Times New Roman" w:cs="Times New Roman"/>
          <w:b/>
          <w:u w:val="single"/>
        </w:rPr>
      </w:pPr>
      <w:r w:rsidRPr="002A0CF6">
        <w:rPr>
          <w:rFonts w:ascii="Times New Roman" w:eastAsia="Times New Roman" w:hAnsi="Times New Roman" w:cs="Times New Roman"/>
          <w:b/>
          <w:u w:val="single"/>
        </w:rPr>
        <w:t>Allegato 2</w:t>
      </w:r>
    </w:p>
    <w:p w14:paraId="15980936" w14:textId="77777777" w:rsidR="00296E09" w:rsidRDefault="00296E09" w:rsidP="00296E09">
      <w:pPr>
        <w:rPr>
          <w:rFonts w:ascii="Times New Roman" w:eastAsia="Times New Roman" w:hAnsi="Times New Roman" w:cs="Times New Roman"/>
          <w:b/>
        </w:rPr>
      </w:pPr>
    </w:p>
    <w:p w14:paraId="04A60E00" w14:textId="77777777" w:rsidR="00296E09" w:rsidRDefault="00296E09" w:rsidP="00296E09">
      <w:pPr>
        <w:rPr>
          <w:rFonts w:ascii="Times New Roman" w:eastAsia="Times New Roman" w:hAnsi="Times New Roman" w:cs="Times New Roman"/>
          <w:b/>
        </w:rPr>
      </w:pPr>
      <w:r>
        <w:rPr>
          <w:rFonts w:ascii="Times New Roman" w:eastAsia="Times New Roman" w:hAnsi="Times New Roman" w:cs="Times New Roman"/>
          <w:b/>
        </w:rPr>
        <w:t>Le proposte di modifica all’art. 40 del decreto legislativo di riforma del Codice dei contratti pubblici</w:t>
      </w:r>
    </w:p>
    <w:p w14:paraId="7173BE02" w14:textId="77777777" w:rsidR="00296E09" w:rsidRPr="002A0CF6" w:rsidRDefault="00296E09" w:rsidP="00296E09">
      <w:pPr>
        <w:spacing w:after="4" w:line="225" w:lineRule="auto"/>
        <w:ind w:right="130"/>
        <w:jc w:val="both"/>
        <w:rPr>
          <w:rFonts w:ascii="Times New Roman" w:eastAsia="Times New Roman" w:hAnsi="Times New Roman" w:cs="Times New Roman"/>
          <w:color w:val="000000"/>
          <w:sz w:val="22"/>
          <w:szCs w:val="22"/>
        </w:rPr>
      </w:pPr>
    </w:p>
    <w:p w14:paraId="004D52C9" w14:textId="77777777" w:rsidR="00296E09" w:rsidRPr="002A0CF6" w:rsidRDefault="00296E09" w:rsidP="00296E09">
      <w:pPr>
        <w:spacing w:after="4" w:line="225" w:lineRule="auto"/>
        <w:ind w:right="130" w:firstLine="4"/>
        <w:jc w:val="both"/>
        <w:rPr>
          <w:rFonts w:ascii="Times New Roman" w:eastAsia="Times New Roman" w:hAnsi="Times New Roman" w:cs="Times New Roman"/>
          <w:color w:val="000000"/>
          <w:sz w:val="22"/>
          <w:szCs w:val="22"/>
        </w:rPr>
      </w:pPr>
    </w:p>
    <w:tbl>
      <w:tblPr>
        <w:tblStyle w:val="TableGrid"/>
        <w:tblW w:w="11483" w:type="dxa"/>
        <w:tblInd w:w="-287" w:type="dxa"/>
        <w:tblCellMar>
          <w:top w:w="38" w:type="dxa"/>
          <w:left w:w="79" w:type="dxa"/>
          <w:right w:w="108" w:type="dxa"/>
        </w:tblCellMar>
        <w:tblLook w:val="04A0" w:firstRow="1" w:lastRow="0" w:firstColumn="1" w:lastColumn="0" w:noHBand="0" w:noVBand="1"/>
      </w:tblPr>
      <w:tblGrid>
        <w:gridCol w:w="6238"/>
        <w:gridCol w:w="5245"/>
      </w:tblGrid>
      <w:tr w:rsidR="00296E09" w:rsidRPr="002A0CF6" w14:paraId="2A51A21F" w14:textId="77777777" w:rsidTr="00C53604">
        <w:trPr>
          <w:trHeight w:val="555"/>
        </w:trPr>
        <w:tc>
          <w:tcPr>
            <w:tcW w:w="6238" w:type="dxa"/>
            <w:tcBorders>
              <w:top w:val="single" w:sz="2" w:space="0" w:color="000000"/>
              <w:left w:val="single" w:sz="2" w:space="0" w:color="000000"/>
              <w:bottom w:val="single" w:sz="2" w:space="0" w:color="000000"/>
              <w:right w:val="single" w:sz="2" w:space="0" w:color="000000"/>
            </w:tcBorders>
            <w:vAlign w:val="center"/>
          </w:tcPr>
          <w:p w14:paraId="316D8678" w14:textId="77777777" w:rsidR="00296E09" w:rsidRPr="002A0CF6" w:rsidRDefault="00296E09" w:rsidP="00C53604">
            <w:pPr>
              <w:spacing w:line="259" w:lineRule="auto"/>
              <w:ind w:left="43"/>
              <w:jc w:val="center"/>
              <w:rPr>
                <w:rFonts w:ascii="Times New Roman" w:eastAsia="Times New Roman" w:hAnsi="Times New Roman" w:cs="Times New Roman"/>
                <w:b/>
                <w:bCs/>
                <w:color w:val="000000"/>
                <w:sz w:val="24"/>
                <w:szCs w:val="24"/>
              </w:rPr>
            </w:pPr>
            <w:r w:rsidRPr="002A0CF6">
              <w:rPr>
                <w:rFonts w:ascii="Times New Roman" w:eastAsia="Times New Roman" w:hAnsi="Times New Roman" w:cs="Times New Roman"/>
                <w:b/>
                <w:bCs/>
                <w:color w:val="000000"/>
                <w:sz w:val="24"/>
                <w:szCs w:val="24"/>
              </w:rPr>
              <w:t>Articolo 40. Dibattito pubblico</w:t>
            </w:r>
          </w:p>
        </w:tc>
        <w:tc>
          <w:tcPr>
            <w:tcW w:w="5245" w:type="dxa"/>
            <w:tcBorders>
              <w:top w:val="single" w:sz="2" w:space="0" w:color="000000"/>
              <w:left w:val="single" w:sz="2" w:space="0" w:color="000000"/>
              <w:bottom w:val="single" w:sz="2" w:space="0" w:color="000000"/>
              <w:right w:val="single" w:sz="2" w:space="0" w:color="000000"/>
            </w:tcBorders>
            <w:vAlign w:val="center"/>
          </w:tcPr>
          <w:p w14:paraId="51CC6BD5" w14:textId="77777777" w:rsidR="00296E09" w:rsidRPr="002A0CF6" w:rsidRDefault="00296E09" w:rsidP="00C53604">
            <w:pPr>
              <w:spacing w:line="259" w:lineRule="auto"/>
              <w:ind w:left="43"/>
              <w:jc w:val="center"/>
              <w:rPr>
                <w:rFonts w:ascii="Times New Roman" w:eastAsia="Times New Roman" w:hAnsi="Times New Roman" w:cs="Times New Roman"/>
                <w:b/>
                <w:bCs/>
                <w:color w:val="000000"/>
                <w:sz w:val="24"/>
                <w:szCs w:val="24"/>
              </w:rPr>
            </w:pPr>
            <w:r w:rsidRPr="002A0CF6">
              <w:rPr>
                <w:rFonts w:ascii="Times New Roman" w:eastAsia="Times New Roman" w:hAnsi="Times New Roman" w:cs="Times New Roman"/>
                <w:b/>
                <w:bCs/>
                <w:color w:val="000000"/>
                <w:sz w:val="24"/>
                <w:szCs w:val="24"/>
              </w:rPr>
              <w:t>Proposta modifica (in rosso)</w:t>
            </w:r>
          </w:p>
        </w:tc>
      </w:tr>
      <w:tr w:rsidR="00296E09" w:rsidRPr="002A0CF6" w14:paraId="0FE06B05" w14:textId="77777777" w:rsidTr="00C53604">
        <w:trPr>
          <w:trHeight w:val="2576"/>
        </w:trPr>
        <w:tc>
          <w:tcPr>
            <w:tcW w:w="6238" w:type="dxa"/>
            <w:tcBorders>
              <w:top w:val="single" w:sz="2" w:space="0" w:color="000000"/>
              <w:left w:val="single" w:sz="2" w:space="0" w:color="000000"/>
              <w:bottom w:val="single" w:sz="2" w:space="0" w:color="000000"/>
              <w:right w:val="single" w:sz="2" w:space="0" w:color="000000"/>
            </w:tcBorders>
            <w:vAlign w:val="center"/>
          </w:tcPr>
          <w:p w14:paraId="18C54DA4" w14:textId="77777777" w:rsidR="00296E09" w:rsidRPr="002A0CF6" w:rsidRDefault="00296E09" w:rsidP="00C53604">
            <w:pPr>
              <w:spacing w:line="259" w:lineRule="auto"/>
              <w:ind w:left="22" w:right="43" w:firstLine="14"/>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t>1. Salvi i casi di dibattito pubblico obbligatorio indicati nell'allegato 1.6, la stazione appaltante o l'ente concedente può indire il dibattito pubblico, ove ne ravvisi l'opportunità in ragione della particolare rilevanza sociale dell'intervento e del suo impatto sull'ambiente e sul territorio, garantendone in ogni caso la celerità.</w:t>
            </w:r>
          </w:p>
        </w:tc>
        <w:tc>
          <w:tcPr>
            <w:tcW w:w="5245" w:type="dxa"/>
            <w:tcBorders>
              <w:top w:val="single" w:sz="2" w:space="0" w:color="000000"/>
              <w:left w:val="single" w:sz="2" w:space="0" w:color="000000"/>
              <w:bottom w:val="single" w:sz="2" w:space="0" w:color="000000"/>
              <w:right w:val="single" w:sz="2" w:space="0" w:color="000000"/>
            </w:tcBorders>
            <w:vAlign w:val="center"/>
          </w:tcPr>
          <w:p w14:paraId="64403FE7" w14:textId="77777777" w:rsidR="00296E09" w:rsidRPr="002A0CF6" w:rsidRDefault="00296E09" w:rsidP="00C53604">
            <w:pPr>
              <w:spacing w:after="160" w:line="259" w:lineRule="auto"/>
              <w:jc w:val="both"/>
              <w:rPr>
                <w:rFonts w:ascii="Times New Roman" w:eastAsia="Times New Roman" w:hAnsi="Times New Roman" w:cs="Times New Roman"/>
                <w:color w:val="000000"/>
                <w:sz w:val="22"/>
                <w:szCs w:val="22"/>
              </w:rPr>
            </w:pPr>
          </w:p>
        </w:tc>
      </w:tr>
      <w:tr w:rsidR="00296E09" w:rsidRPr="002A0CF6" w14:paraId="1E0C8D64" w14:textId="77777777" w:rsidTr="00C53604">
        <w:trPr>
          <w:trHeight w:val="3788"/>
        </w:trPr>
        <w:tc>
          <w:tcPr>
            <w:tcW w:w="6238" w:type="dxa"/>
            <w:tcBorders>
              <w:top w:val="single" w:sz="2" w:space="0" w:color="000000"/>
              <w:left w:val="single" w:sz="2" w:space="0" w:color="000000"/>
              <w:bottom w:val="single" w:sz="2" w:space="0" w:color="000000"/>
              <w:right w:val="single" w:sz="2" w:space="0" w:color="000000"/>
            </w:tcBorders>
            <w:vAlign w:val="center"/>
          </w:tcPr>
          <w:p w14:paraId="2F765A16" w14:textId="77777777" w:rsidR="00296E09" w:rsidRPr="002A0CF6" w:rsidRDefault="00296E09" w:rsidP="00C53604">
            <w:pPr>
              <w:spacing w:line="259" w:lineRule="auto"/>
              <w:ind w:left="22" w:right="14" w:firstLine="14"/>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t>2. ln sede di prima applicazione del codice, l'allegato I.6 è abrogato a decorrere dalla data di entrata in vigore di un corrispondente regolamento adottato ai sensi dell'articolo 17, comma 3, della legge 23 agosto 1988, n. 400, con decreto del Presidente del Consiglio dei ministri su proposta del Ministro delle infrastrutture e dei trasporti, sentiti il Ministro dell'ambiente e della sicurezza energetica e il Ministro della cultura, che lo sostituisce integralmente anche in qualità di allegato al codice</w:t>
            </w:r>
          </w:p>
        </w:tc>
        <w:tc>
          <w:tcPr>
            <w:tcW w:w="5245" w:type="dxa"/>
            <w:tcBorders>
              <w:top w:val="single" w:sz="2" w:space="0" w:color="000000"/>
              <w:left w:val="single" w:sz="2" w:space="0" w:color="000000"/>
              <w:bottom w:val="single" w:sz="2" w:space="0" w:color="000000"/>
              <w:right w:val="single" w:sz="2" w:space="0" w:color="000000"/>
            </w:tcBorders>
            <w:vAlign w:val="center"/>
          </w:tcPr>
          <w:p w14:paraId="6A6ACB77" w14:textId="77777777" w:rsidR="00296E09" w:rsidRPr="002A0CF6" w:rsidRDefault="00296E09" w:rsidP="00C53604">
            <w:pPr>
              <w:spacing w:line="259" w:lineRule="auto"/>
              <w:ind w:right="43" w:firstLine="4"/>
              <w:jc w:val="both"/>
              <w:rPr>
                <w:rFonts w:ascii="Times New Roman" w:eastAsia="Times New Roman" w:hAnsi="Times New Roman" w:cs="Times New Roman"/>
                <w:color w:val="000000"/>
                <w:sz w:val="22"/>
                <w:szCs w:val="22"/>
              </w:rPr>
            </w:pPr>
          </w:p>
        </w:tc>
      </w:tr>
      <w:tr w:rsidR="00296E09" w:rsidRPr="002A0CF6" w14:paraId="15DA66B6" w14:textId="77777777" w:rsidTr="00C53604">
        <w:trPr>
          <w:trHeight w:val="2397"/>
        </w:trPr>
        <w:tc>
          <w:tcPr>
            <w:tcW w:w="6238" w:type="dxa"/>
            <w:tcBorders>
              <w:top w:val="single" w:sz="2" w:space="0" w:color="000000"/>
              <w:left w:val="single" w:sz="2" w:space="0" w:color="000000"/>
              <w:bottom w:val="single" w:sz="2" w:space="0" w:color="000000"/>
              <w:right w:val="single" w:sz="2" w:space="0" w:color="000000"/>
            </w:tcBorders>
            <w:vAlign w:val="center"/>
          </w:tcPr>
          <w:p w14:paraId="62990427" w14:textId="77777777" w:rsidR="00296E09" w:rsidRPr="002A0CF6" w:rsidRDefault="00296E09" w:rsidP="00C53604">
            <w:pPr>
              <w:spacing w:line="259" w:lineRule="auto"/>
              <w:ind w:right="58"/>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lastRenderedPageBreak/>
              <w:t>3. Il dibattito pubblico si apre con la pubblicazione sul sito istituzionale della stazione appaltante o dell'ente concedente di una relazione contenente il progetto dell'opera e l'analisi di fattibilità delle eventuali alternative progettuali</w:t>
            </w:r>
          </w:p>
        </w:tc>
        <w:tc>
          <w:tcPr>
            <w:tcW w:w="5245" w:type="dxa"/>
            <w:tcBorders>
              <w:top w:val="single" w:sz="2" w:space="0" w:color="000000"/>
              <w:left w:val="single" w:sz="2" w:space="0" w:color="000000"/>
              <w:bottom w:val="single" w:sz="2" w:space="0" w:color="000000"/>
              <w:right w:val="single" w:sz="2" w:space="0" w:color="000000"/>
            </w:tcBorders>
            <w:vAlign w:val="center"/>
          </w:tcPr>
          <w:p w14:paraId="2341294E" w14:textId="77777777" w:rsidR="00296E09" w:rsidRPr="002A0CF6" w:rsidRDefault="00296E09" w:rsidP="00C53604">
            <w:pPr>
              <w:spacing w:line="259" w:lineRule="auto"/>
              <w:ind w:right="43" w:firstLine="4"/>
              <w:jc w:val="both"/>
              <w:rPr>
                <w:rFonts w:ascii="Times New Roman" w:eastAsia="Times New Roman" w:hAnsi="Times New Roman" w:cs="Times New Roman"/>
                <w:color w:val="000000"/>
                <w:sz w:val="22"/>
                <w:szCs w:val="22"/>
              </w:rPr>
            </w:pPr>
          </w:p>
        </w:tc>
      </w:tr>
      <w:tr w:rsidR="00296E09" w:rsidRPr="002A0CF6" w14:paraId="33B42891" w14:textId="77777777" w:rsidTr="00C53604">
        <w:trPr>
          <w:trHeight w:val="593"/>
        </w:trPr>
        <w:tc>
          <w:tcPr>
            <w:tcW w:w="6238" w:type="dxa"/>
            <w:tcBorders>
              <w:top w:val="single" w:sz="2" w:space="0" w:color="000000"/>
              <w:left w:val="single" w:sz="2" w:space="0" w:color="000000"/>
              <w:bottom w:val="single" w:sz="2" w:space="0" w:color="000000"/>
              <w:right w:val="single" w:sz="2" w:space="0" w:color="000000"/>
            </w:tcBorders>
            <w:vAlign w:val="center"/>
          </w:tcPr>
          <w:p w14:paraId="76A311A1" w14:textId="77777777" w:rsidR="00296E09" w:rsidRPr="002A0CF6" w:rsidRDefault="00296E09" w:rsidP="00C53604">
            <w:pPr>
              <w:spacing w:line="259" w:lineRule="auto"/>
              <w:ind w:right="58"/>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t>4. Le amministrazioni statali interessate alla realizzazione dell'intervento, le regioni e gli altri enti territoriali interessati dall'opera, nonché i portatori di interessi diffusi costituiti in associazioni o comitati, che, in ragione degli scopi statutari, sono interessati dall'intervento, possono presentare osservazioni e proposte entro il termine di 60 giorni dalla pubblicazione di cui al comma 3.</w:t>
            </w:r>
          </w:p>
        </w:tc>
        <w:tc>
          <w:tcPr>
            <w:tcW w:w="5245" w:type="dxa"/>
            <w:tcBorders>
              <w:top w:val="single" w:sz="2" w:space="0" w:color="000000"/>
              <w:left w:val="single" w:sz="2" w:space="0" w:color="000000"/>
              <w:bottom w:val="single" w:sz="2" w:space="0" w:color="000000"/>
              <w:right w:val="single" w:sz="2" w:space="0" w:color="000000"/>
            </w:tcBorders>
            <w:vAlign w:val="center"/>
          </w:tcPr>
          <w:p w14:paraId="68E8528F"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r w:rsidRPr="002A0CF6">
              <w:rPr>
                <w:rFonts w:ascii="Times New Roman" w:eastAsia="Cambria" w:hAnsi="Times New Roman" w:cs="Times New Roman"/>
                <w:sz w:val="22"/>
                <w:szCs w:val="22"/>
                <w:lang w:eastAsia="en-US"/>
              </w:rPr>
              <w:t xml:space="preserve">4. Le amministrazioni statali interessate alla realizzazione dell'intervento, le regioni e gli altri enti territoriali interessati dall'opera, </w:t>
            </w:r>
            <w:r w:rsidRPr="002A0CF6">
              <w:rPr>
                <w:rFonts w:ascii="Times New Roman" w:eastAsia="Cambria" w:hAnsi="Times New Roman" w:cs="Times New Roman"/>
                <w:color w:val="FF0000"/>
                <w:sz w:val="22"/>
                <w:szCs w:val="22"/>
                <w:lang w:eastAsia="en-US"/>
              </w:rPr>
              <w:t xml:space="preserve">i cittadini elettori, le comunità e stakeholder locali, </w:t>
            </w:r>
            <w:r w:rsidRPr="002A0CF6">
              <w:rPr>
                <w:rFonts w:ascii="Times New Roman" w:eastAsia="Cambria" w:hAnsi="Times New Roman" w:cs="Times New Roman"/>
                <w:sz w:val="22"/>
                <w:szCs w:val="22"/>
                <w:lang w:eastAsia="en-US"/>
              </w:rPr>
              <w:t xml:space="preserve">nonché i portatori di interessi diffusi costituiti in associazioni o comitati, che, in ragione degli scopi statutari, sono interessati dall'intervento, possono presentare osservazioni e proposte entro il termine di </w:t>
            </w:r>
            <w:r w:rsidRPr="002A0CF6">
              <w:rPr>
                <w:rFonts w:ascii="Times New Roman" w:eastAsia="Cambria" w:hAnsi="Times New Roman" w:cs="Times New Roman"/>
                <w:color w:val="FF0000"/>
                <w:sz w:val="22"/>
                <w:szCs w:val="22"/>
                <w:lang w:eastAsia="en-US"/>
              </w:rPr>
              <w:t xml:space="preserve">90 giorni </w:t>
            </w:r>
            <w:r w:rsidRPr="002A0CF6">
              <w:rPr>
                <w:rFonts w:ascii="Times New Roman" w:eastAsia="Cambria" w:hAnsi="Times New Roman" w:cs="Times New Roman"/>
                <w:sz w:val="22"/>
                <w:szCs w:val="22"/>
                <w:lang w:eastAsia="en-US"/>
              </w:rPr>
              <w:t>dalla pubblicazione di cui al comma 3</w:t>
            </w:r>
          </w:p>
        </w:tc>
      </w:tr>
      <w:tr w:rsidR="00296E09" w:rsidRPr="002A0CF6" w14:paraId="74D74700" w14:textId="77777777" w:rsidTr="00C53604">
        <w:tblPrEx>
          <w:tblCellMar>
            <w:top w:w="36" w:type="dxa"/>
            <w:left w:w="94" w:type="dxa"/>
            <w:right w:w="123" w:type="dxa"/>
          </w:tblCellMar>
        </w:tblPrEx>
        <w:trPr>
          <w:trHeight w:val="1020"/>
        </w:trPr>
        <w:tc>
          <w:tcPr>
            <w:tcW w:w="6238" w:type="dxa"/>
            <w:tcBorders>
              <w:top w:val="single" w:sz="2" w:space="0" w:color="000000"/>
              <w:left w:val="single" w:sz="2" w:space="0" w:color="000000"/>
              <w:bottom w:val="single" w:sz="2" w:space="0" w:color="000000"/>
              <w:right w:val="single" w:sz="2" w:space="0" w:color="000000"/>
            </w:tcBorders>
          </w:tcPr>
          <w:p w14:paraId="21851CBE" w14:textId="77777777" w:rsidR="00296E09" w:rsidRPr="002A0CF6" w:rsidRDefault="00296E09" w:rsidP="00C53604">
            <w:pPr>
              <w:spacing w:line="259" w:lineRule="auto"/>
              <w:ind w:left="22" w:right="29"/>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t>5. Il dibattito pubblico si conclude entro un termine compatibile con le esigenze di celerità, comunque non superiore a 120 giorni dalla pubblicazione di cui al comma 3, con una relazione, redatta dal responsabile del dibattito pubblico e contenente una sintetica descrizione delle proposte e delle osservazioni pervenute, con l'eventuale indicazione di quelle ritenute meritevoli di accoglimento. La relazione conclusiva è pubblicata sul sito istituzionale della stazione appaltante o dell'ente concedente.</w:t>
            </w:r>
          </w:p>
        </w:tc>
        <w:tc>
          <w:tcPr>
            <w:tcW w:w="5245" w:type="dxa"/>
            <w:tcBorders>
              <w:top w:val="single" w:sz="2" w:space="0" w:color="000000"/>
              <w:left w:val="single" w:sz="2" w:space="0" w:color="000000"/>
              <w:bottom w:val="single" w:sz="2" w:space="0" w:color="000000"/>
              <w:right w:val="single" w:sz="2" w:space="0" w:color="000000"/>
            </w:tcBorders>
          </w:tcPr>
          <w:p w14:paraId="0AAC653E" w14:textId="77777777" w:rsidR="00296E09" w:rsidRPr="002A0CF6" w:rsidRDefault="00296E09" w:rsidP="00C53604">
            <w:pPr>
              <w:spacing w:line="259" w:lineRule="auto"/>
              <w:ind w:left="14" w:right="101" w:hanging="14"/>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t xml:space="preserve">5. Il dibattito pubblico si conclude entro un termine compatibile con le esigenze di celerità, comunque non superiore a </w:t>
            </w:r>
            <w:r w:rsidRPr="002A0CF6">
              <w:rPr>
                <w:rFonts w:ascii="Times New Roman" w:eastAsia="Times New Roman" w:hAnsi="Times New Roman" w:cs="Times New Roman"/>
                <w:color w:val="FF0000"/>
                <w:sz w:val="22"/>
                <w:szCs w:val="22"/>
              </w:rPr>
              <w:t xml:space="preserve">180 giorni </w:t>
            </w:r>
            <w:r w:rsidRPr="002A0CF6">
              <w:rPr>
                <w:rFonts w:ascii="Times New Roman" w:eastAsia="Times New Roman" w:hAnsi="Times New Roman" w:cs="Times New Roman"/>
                <w:color w:val="000000"/>
                <w:sz w:val="22"/>
                <w:szCs w:val="22"/>
              </w:rPr>
              <w:t xml:space="preserve">dalla pubblicazione di cui al comma 3, con una relazione, redatta dal responsabile del dibattito pubblico e contenente </w:t>
            </w:r>
            <w:r w:rsidRPr="002A0CF6">
              <w:rPr>
                <w:rFonts w:ascii="Times New Roman" w:eastAsia="Times New Roman" w:hAnsi="Times New Roman" w:cs="Times New Roman"/>
                <w:color w:val="FF0000"/>
                <w:sz w:val="22"/>
                <w:szCs w:val="22"/>
              </w:rPr>
              <w:t xml:space="preserve">una descrizione </w:t>
            </w:r>
            <w:r w:rsidRPr="002A0CF6">
              <w:rPr>
                <w:rFonts w:ascii="Times New Roman" w:eastAsia="Times New Roman" w:hAnsi="Times New Roman" w:cs="Times New Roman"/>
                <w:color w:val="000000"/>
                <w:sz w:val="22"/>
                <w:szCs w:val="22"/>
              </w:rPr>
              <w:t xml:space="preserve">delle proposte e delle osservazioni pervenute, con l'eventuale indicazione di quelle ritenute meritevoli di accoglimento. </w:t>
            </w:r>
          </w:p>
          <w:p w14:paraId="12B4A231" w14:textId="77777777" w:rsidR="00296E09" w:rsidRPr="002A0CF6" w:rsidRDefault="00296E09" w:rsidP="00C53604">
            <w:pPr>
              <w:spacing w:line="259" w:lineRule="auto"/>
              <w:ind w:left="14" w:right="101" w:hanging="14"/>
              <w:jc w:val="both"/>
              <w:rPr>
                <w:rFonts w:ascii="Times New Roman" w:eastAsia="Times New Roman" w:hAnsi="Times New Roman" w:cs="Times New Roman"/>
                <w:color w:val="000000"/>
                <w:sz w:val="22"/>
                <w:szCs w:val="22"/>
              </w:rPr>
            </w:pPr>
          </w:p>
          <w:p w14:paraId="36BEDACA" w14:textId="77777777" w:rsidR="00296E09" w:rsidRPr="002A0CF6" w:rsidRDefault="00296E09" w:rsidP="00C53604">
            <w:pPr>
              <w:spacing w:line="259" w:lineRule="auto"/>
              <w:ind w:right="101"/>
              <w:jc w:val="both"/>
              <w:rPr>
                <w:rFonts w:ascii="Times New Roman" w:eastAsia="Times New Roman" w:hAnsi="Times New Roman" w:cs="Times New Roman"/>
                <w:color w:val="FF0000"/>
                <w:sz w:val="22"/>
                <w:szCs w:val="22"/>
              </w:rPr>
            </w:pPr>
            <w:r w:rsidRPr="002A0CF6">
              <w:rPr>
                <w:rFonts w:ascii="Times New Roman" w:eastAsia="Times New Roman" w:hAnsi="Times New Roman" w:cs="Times New Roman"/>
                <w:color w:val="FF0000"/>
                <w:sz w:val="22"/>
                <w:szCs w:val="22"/>
              </w:rPr>
              <w:t xml:space="preserve">La Commissione Nazionale per il Dibattito Pubblico vigila sullo svolgimento del dibattito pubblico in tutte le sue fasi al fine di garantire completezza e chiarezza nella informazione e il pieno diritto a una partecipazione inclusiva. La Commissione esercita poteri sostitutivi in caso di inerzia o ritardi e interviene, anche su segnalazione, laddove si manifestino criticità. </w:t>
            </w:r>
          </w:p>
          <w:p w14:paraId="52DC3892" w14:textId="77777777" w:rsidR="00296E09" w:rsidRPr="002A0CF6" w:rsidRDefault="00296E09" w:rsidP="00C53604">
            <w:pPr>
              <w:spacing w:line="259" w:lineRule="auto"/>
              <w:ind w:right="101"/>
              <w:jc w:val="both"/>
              <w:rPr>
                <w:rFonts w:ascii="Times New Roman" w:eastAsia="Times New Roman" w:hAnsi="Times New Roman" w:cs="Times New Roman"/>
                <w:color w:val="FF0000"/>
                <w:sz w:val="22"/>
                <w:szCs w:val="22"/>
              </w:rPr>
            </w:pPr>
          </w:p>
          <w:p w14:paraId="657313ED" w14:textId="77777777" w:rsidR="00296E09" w:rsidRPr="002A0CF6" w:rsidRDefault="00296E09" w:rsidP="00C53604">
            <w:pPr>
              <w:spacing w:line="259" w:lineRule="auto"/>
              <w:ind w:left="14" w:right="101" w:hanging="14"/>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t xml:space="preserve">La relazione conclusiva è pubblicata sul sito istituzionale </w:t>
            </w:r>
            <w:r w:rsidRPr="002A0CF6">
              <w:rPr>
                <w:rFonts w:ascii="Times New Roman" w:eastAsia="Times New Roman" w:hAnsi="Times New Roman" w:cs="Times New Roman"/>
                <w:color w:val="FF0000"/>
                <w:sz w:val="22"/>
                <w:szCs w:val="22"/>
              </w:rPr>
              <w:t>della Commissione Nazionale per il Dibattito Pubblico</w:t>
            </w:r>
            <w:r w:rsidRPr="002A0CF6">
              <w:rPr>
                <w:rFonts w:ascii="Times New Roman" w:eastAsia="Times New Roman" w:hAnsi="Times New Roman" w:cs="Times New Roman"/>
                <w:color w:val="000000"/>
                <w:sz w:val="22"/>
                <w:szCs w:val="22"/>
              </w:rPr>
              <w:t>, della stazione appaltante o dell'ente concedente.</w:t>
            </w:r>
          </w:p>
          <w:p w14:paraId="0AD0519A" w14:textId="77777777" w:rsidR="00296E09" w:rsidRPr="002A0CF6" w:rsidRDefault="00296E09" w:rsidP="00C53604">
            <w:pPr>
              <w:spacing w:line="259" w:lineRule="auto"/>
              <w:ind w:right="101"/>
              <w:jc w:val="both"/>
              <w:rPr>
                <w:rFonts w:ascii="Times New Roman" w:eastAsia="Times New Roman" w:hAnsi="Times New Roman" w:cs="Times New Roman"/>
                <w:color w:val="000000"/>
                <w:sz w:val="22"/>
                <w:szCs w:val="22"/>
              </w:rPr>
            </w:pPr>
          </w:p>
        </w:tc>
      </w:tr>
      <w:tr w:rsidR="00296E09" w:rsidRPr="002A0CF6" w14:paraId="364D13BD" w14:textId="77777777" w:rsidTr="00C53604">
        <w:tblPrEx>
          <w:tblCellMar>
            <w:top w:w="36" w:type="dxa"/>
            <w:left w:w="94" w:type="dxa"/>
            <w:right w:w="123" w:type="dxa"/>
          </w:tblCellMar>
        </w:tblPrEx>
        <w:trPr>
          <w:trHeight w:val="2038"/>
        </w:trPr>
        <w:tc>
          <w:tcPr>
            <w:tcW w:w="6238" w:type="dxa"/>
            <w:tcBorders>
              <w:top w:val="single" w:sz="2" w:space="0" w:color="000000"/>
              <w:left w:val="single" w:sz="2" w:space="0" w:color="000000"/>
              <w:bottom w:val="single" w:sz="2" w:space="0" w:color="000000"/>
              <w:right w:val="single" w:sz="2" w:space="0" w:color="000000"/>
            </w:tcBorders>
          </w:tcPr>
          <w:p w14:paraId="01CBC4D6" w14:textId="77777777" w:rsidR="00296E09" w:rsidRPr="002A0CF6" w:rsidRDefault="00296E09" w:rsidP="00C53604">
            <w:pPr>
              <w:spacing w:line="259" w:lineRule="auto"/>
              <w:ind w:left="22" w:right="72"/>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lastRenderedPageBreak/>
              <w:t>6. Gli esiti del dibattito, ivi comprese eventuali proposte di variazione dell'intervento, sono valutati dalla stazione appaltante o dall'ente concedente ai fini dell'elaborazione dei successivi livelli di progettazione.</w:t>
            </w:r>
          </w:p>
        </w:tc>
        <w:tc>
          <w:tcPr>
            <w:tcW w:w="5245" w:type="dxa"/>
            <w:tcBorders>
              <w:top w:val="single" w:sz="2" w:space="0" w:color="000000"/>
              <w:left w:val="single" w:sz="2" w:space="0" w:color="000000"/>
              <w:bottom w:val="single" w:sz="2" w:space="0" w:color="000000"/>
              <w:right w:val="single" w:sz="2" w:space="0" w:color="000000"/>
            </w:tcBorders>
          </w:tcPr>
          <w:p w14:paraId="014B06B6" w14:textId="77777777" w:rsidR="00296E09" w:rsidRPr="002A0CF6" w:rsidRDefault="00296E09" w:rsidP="00C53604">
            <w:pPr>
              <w:spacing w:line="259" w:lineRule="auto"/>
              <w:ind w:left="22" w:right="72"/>
              <w:jc w:val="both"/>
              <w:rPr>
                <w:rFonts w:ascii="Times New Roman" w:eastAsia="Times New Roman" w:hAnsi="Times New Roman" w:cs="Times New Roman"/>
                <w:color w:val="000000"/>
                <w:sz w:val="22"/>
                <w:szCs w:val="22"/>
              </w:rPr>
            </w:pPr>
          </w:p>
        </w:tc>
      </w:tr>
      <w:tr w:rsidR="00296E09" w:rsidRPr="002A0CF6" w14:paraId="3ABAFB77" w14:textId="77777777" w:rsidTr="00C53604">
        <w:tblPrEx>
          <w:tblCellMar>
            <w:top w:w="36" w:type="dxa"/>
            <w:left w:w="94" w:type="dxa"/>
            <w:right w:w="123" w:type="dxa"/>
          </w:tblCellMar>
        </w:tblPrEx>
        <w:trPr>
          <w:trHeight w:val="1986"/>
        </w:trPr>
        <w:tc>
          <w:tcPr>
            <w:tcW w:w="6238" w:type="dxa"/>
            <w:tcBorders>
              <w:top w:val="single" w:sz="2" w:space="0" w:color="000000"/>
              <w:left w:val="single" w:sz="2" w:space="0" w:color="000000"/>
              <w:bottom w:val="single" w:sz="2" w:space="0" w:color="000000"/>
              <w:right w:val="single" w:sz="2" w:space="0" w:color="000000"/>
            </w:tcBorders>
          </w:tcPr>
          <w:p w14:paraId="45FB1D29" w14:textId="77777777" w:rsidR="00296E09" w:rsidRPr="002A0CF6" w:rsidRDefault="00296E09" w:rsidP="00C53604">
            <w:pPr>
              <w:spacing w:line="259" w:lineRule="auto"/>
              <w:ind w:left="22" w:right="72"/>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t>7. Resta ferma la disciplina prevista da specifiche disposizioni di legge per il dibattito pubblico afferente agli interventi finanziati con le risorse del PNRR e del Piano nazionale per gli investimenti complementari al PNRR (PNC).</w:t>
            </w:r>
          </w:p>
        </w:tc>
        <w:tc>
          <w:tcPr>
            <w:tcW w:w="5245" w:type="dxa"/>
            <w:tcBorders>
              <w:top w:val="single" w:sz="2" w:space="0" w:color="000000"/>
              <w:left w:val="single" w:sz="2" w:space="0" w:color="000000"/>
              <w:bottom w:val="single" w:sz="2" w:space="0" w:color="000000"/>
              <w:right w:val="single" w:sz="2" w:space="0" w:color="000000"/>
            </w:tcBorders>
          </w:tcPr>
          <w:p w14:paraId="4D9A7D05"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tc>
      </w:tr>
      <w:tr w:rsidR="00296E09" w:rsidRPr="002A0CF6" w14:paraId="3DC24E6E" w14:textId="77777777" w:rsidTr="00C53604">
        <w:tblPrEx>
          <w:tblCellMar>
            <w:top w:w="36" w:type="dxa"/>
            <w:left w:w="94" w:type="dxa"/>
            <w:right w:w="123" w:type="dxa"/>
          </w:tblCellMar>
        </w:tblPrEx>
        <w:trPr>
          <w:trHeight w:val="2863"/>
        </w:trPr>
        <w:tc>
          <w:tcPr>
            <w:tcW w:w="6238" w:type="dxa"/>
            <w:tcBorders>
              <w:top w:val="single" w:sz="2" w:space="0" w:color="000000"/>
              <w:left w:val="single" w:sz="2" w:space="0" w:color="000000"/>
              <w:bottom w:val="single" w:sz="2" w:space="0" w:color="000000"/>
              <w:right w:val="single" w:sz="2" w:space="0" w:color="000000"/>
            </w:tcBorders>
          </w:tcPr>
          <w:p w14:paraId="324DC51F" w14:textId="77777777" w:rsidR="00296E09" w:rsidRPr="002A0CF6" w:rsidRDefault="00296E09" w:rsidP="00C53604">
            <w:pPr>
              <w:spacing w:line="216" w:lineRule="auto"/>
              <w:ind w:left="14" w:hanging="14"/>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t>8. L'allegato 1.6 disciplina: a) i casi in cui il dibattito pubblico è obbligatorio;</w:t>
            </w:r>
          </w:p>
          <w:p w14:paraId="6C8FF546" w14:textId="77777777" w:rsidR="00296E09" w:rsidRPr="002A0CF6" w:rsidRDefault="00296E09" w:rsidP="00C53604">
            <w:pPr>
              <w:spacing w:line="259" w:lineRule="auto"/>
              <w:ind w:left="22" w:right="72"/>
              <w:jc w:val="both"/>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t>b) le modalità di partecipazione e di svolgimento del dibattito pubblico; c) le modalità di individuazione e i compiti del responsabile del dibattito pubblico; d) gli eventuali contenuti ulteriori della relazione iniziale e di quella conclusiva del procedimento di dibattito pubblico</w:t>
            </w:r>
          </w:p>
        </w:tc>
        <w:tc>
          <w:tcPr>
            <w:tcW w:w="5245" w:type="dxa"/>
            <w:tcBorders>
              <w:top w:val="single" w:sz="2" w:space="0" w:color="000000"/>
              <w:left w:val="single" w:sz="2" w:space="0" w:color="000000"/>
              <w:bottom w:val="single" w:sz="2" w:space="0" w:color="000000"/>
              <w:right w:val="single" w:sz="2" w:space="0" w:color="000000"/>
            </w:tcBorders>
          </w:tcPr>
          <w:p w14:paraId="69C1756A"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tc>
      </w:tr>
    </w:tbl>
    <w:p w14:paraId="6247B384" w14:textId="77777777" w:rsidR="00296E09" w:rsidRPr="002A0CF6" w:rsidRDefault="00296E09" w:rsidP="00296E09">
      <w:pPr>
        <w:spacing w:after="4" w:line="225" w:lineRule="auto"/>
        <w:ind w:right="130" w:firstLine="4"/>
        <w:jc w:val="both"/>
        <w:rPr>
          <w:rFonts w:ascii="Times New Roman" w:eastAsia="Times New Roman" w:hAnsi="Times New Roman" w:cs="Times New Roman"/>
          <w:color w:val="000000"/>
          <w:sz w:val="22"/>
          <w:szCs w:val="22"/>
        </w:rPr>
      </w:pPr>
    </w:p>
    <w:p w14:paraId="73BEBBD2" w14:textId="77777777" w:rsidR="00296E09" w:rsidRPr="002A0CF6" w:rsidRDefault="00296E09" w:rsidP="00296E09">
      <w:pPr>
        <w:spacing w:after="160" w:line="259" w:lineRule="auto"/>
        <w:rPr>
          <w:rFonts w:ascii="Times New Roman" w:eastAsia="Times New Roman" w:hAnsi="Times New Roman" w:cs="Times New Roman"/>
          <w:color w:val="000000"/>
          <w:sz w:val="22"/>
          <w:szCs w:val="22"/>
        </w:rPr>
      </w:pPr>
      <w:r w:rsidRPr="002A0CF6">
        <w:rPr>
          <w:rFonts w:ascii="Times New Roman" w:eastAsia="Times New Roman" w:hAnsi="Times New Roman" w:cs="Times New Roman"/>
          <w:color w:val="000000"/>
          <w:sz w:val="22"/>
          <w:szCs w:val="22"/>
        </w:rPr>
        <w:br w:type="page"/>
      </w:r>
    </w:p>
    <w:p w14:paraId="77386491" w14:textId="77777777" w:rsidR="00296E09" w:rsidRPr="002A0CF6" w:rsidRDefault="00296E09" w:rsidP="00296E09">
      <w:pPr>
        <w:spacing w:after="4" w:line="225" w:lineRule="auto"/>
        <w:ind w:right="130" w:firstLine="4"/>
        <w:jc w:val="both"/>
        <w:rPr>
          <w:rFonts w:ascii="Times New Roman" w:eastAsia="Times New Roman" w:hAnsi="Times New Roman" w:cs="Times New Roman"/>
          <w:color w:val="000000"/>
          <w:sz w:val="22"/>
          <w:szCs w:val="22"/>
        </w:rPr>
      </w:pPr>
    </w:p>
    <w:p w14:paraId="4977037D" w14:textId="77777777" w:rsidR="00296E09" w:rsidRPr="002A0CF6" w:rsidRDefault="00296E09" w:rsidP="00296E09">
      <w:pPr>
        <w:spacing w:after="4" w:line="225" w:lineRule="auto"/>
        <w:ind w:right="130" w:firstLine="4"/>
        <w:jc w:val="center"/>
        <w:rPr>
          <w:rFonts w:ascii="Times New Roman" w:eastAsia="Times New Roman" w:hAnsi="Times New Roman" w:cs="Times New Roman"/>
          <w:b/>
          <w:bCs/>
          <w:color w:val="000000"/>
        </w:rPr>
      </w:pPr>
      <w:r w:rsidRPr="002A0CF6">
        <w:rPr>
          <w:rFonts w:ascii="Times New Roman" w:eastAsia="Times New Roman" w:hAnsi="Times New Roman" w:cs="Times New Roman"/>
          <w:b/>
          <w:bCs/>
          <w:color w:val="000000"/>
        </w:rPr>
        <w:t>ALLEGATO I.6 - Dibattito pubblico obbligatorio</w:t>
      </w:r>
    </w:p>
    <w:p w14:paraId="75CDB324" w14:textId="77777777" w:rsidR="00296E09" w:rsidRPr="002A0CF6" w:rsidRDefault="00296E09" w:rsidP="00296E09">
      <w:pPr>
        <w:spacing w:after="4" w:line="225" w:lineRule="auto"/>
        <w:ind w:right="130" w:firstLine="4"/>
        <w:jc w:val="both"/>
        <w:rPr>
          <w:rFonts w:ascii="Times New Roman" w:eastAsia="Times New Roman" w:hAnsi="Times New Roman" w:cs="Times New Roman"/>
          <w:color w:val="000000"/>
          <w:sz w:val="22"/>
          <w:szCs w:val="22"/>
        </w:rPr>
      </w:pPr>
    </w:p>
    <w:tbl>
      <w:tblPr>
        <w:tblStyle w:val="TableGrid"/>
        <w:tblW w:w="11907" w:type="dxa"/>
        <w:tblInd w:w="-570" w:type="dxa"/>
        <w:tblLayout w:type="fixed"/>
        <w:tblCellMar>
          <w:top w:w="36" w:type="dxa"/>
          <w:left w:w="94" w:type="dxa"/>
          <w:right w:w="123" w:type="dxa"/>
        </w:tblCellMar>
        <w:tblLook w:val="04A0" w:firstRow="1" w:lastRow="0" w:firstColumn="1" w:lastColumn="0" w:noHBand="0" w:noVBand="1"/>
      </w:tblPr>
      <w:tblGrid>
        <w:gridCol w:w="6521"/>
        <w:gridCol w:w="5386"/>
      </w:tblGrid>
      <w:tr w:rsidR="00296E09" w:rsidRPr="002A0CF6" w14:paraId="79F62B51" w14:textId="77777777" w:rsidTr="00C53604">
        <w:trPr>
          <w:trHeight w:val="489"/>
        </w:trPr>
        <w:tc>
          <w:tcPr>
            <w:tcW w:w="6521" w:type="dxa"/>
            <w:tcBorders>
              <w:top w:val="single" w:sz="2" w:space="0" w:color="000000"/>
              <w:left w:val="single" w:sz="2" w:space="0" w:color="000000"/>
              <w:bottom w:val="single" w:sz="2" w:space="0" w:color="000000"/>
              <w:right w:val="single" w:sz="2" w:space="0" w:color="000000"/>
            </w:tcBorders>
            <w:vAlign w:val="center"/>
          </w:tcPr>
          <w:p w14:paraId="6F5E5905" w14:textId="77777777" w:rsidR="00296E09" w:rsidRPr="002A0CF6" w:rsidRDefault="00296E09" w:rsidP="00C53604">
            <w:pPr>
              <w:spacing w:beforeLines="80" w:before="192" w:afterLines="80" w:after="192"/>
              <w:rPr>
                <w:rFonts w:ascii="TimesNewRomanPS" w:eastAsia="Times New Roman" w:hAnsi="TimesNewRomanPS" w:cs="Times New Roman"/>
                <w:b/>
                <w:bCs/>
                <w:sz w:val="22"/>
                <w:szCs w:val="22"/>
              </w:rPr>
            </w:pPr>
            <w:r w:rsidRPr="002A0CF6">
              <w:rPr>
                <w:rFonts w:ascii="Times New Roman" w:eastAsia="Times New Roman" w:hAnsi="Times New Roman" w:cs="Times New Roman"/>
                <w:b/>
                <w:bCs/>
                <w:sz w:val="24"/>
                <w:szCs w:val="24"/>
              </w:rPr>
              <w:t>ALLEGATO I.6</w:t>
            </w:r>
          </w:p>
        </w:tc>
        <w:tc>
          <w:tcPr>
            <w:tcW w:w="5386" w:type="dxa"/>
            <w:tcBorders>
              <w:top w:val="single" w:sz="2" w:space="0" w:color="000000"/>
              <w:left w:val="single" w:sz="2" w:space="0" w:color="000000"/>
              <w:bottom w:val="single" w:sz="2" w:space="0" w:color="000000"/>
              <w:right w:val="single" w:sz="2" w:space="0" w:color="000000"/>
            </w:tcBorders>
            <w:vAlign w:val="center"/>
          </w:tcPr>
          <w:p w14:paraId="118A1938" w14:textId="77777777" w:rsidR="00296E09" w:rsidRPr="002A0CF6" w:rsidRDefault="00296E09" w:rsidP="00C53604">
            <w:pPr>
              <w:widowControl w:val="0"/>
              <w:autoSpaceDE w:val="0"/>
              <w:autoSpaceDN w:val="0"/>
              <w:spacing w:beforeLines="80" w:before="192" w:afterLines="80" w:after="192"/>
              <w:ind w:right="342"/>
              <w:jc w:val="both"/>
              <w:rPr>
                <w:rFonts w:ascii="Times New Roman" w:eastAsia="Cambria" w:hAnsi="Times New Roman" w:cs="Times New Roman"/>
                <w:w w:val="105"/>
                <w:sz w:val="22"/>
                <w:szCs w:val="22"/>
                <w:lang w:eastAsia="en-US"/>
              </w:rPr>
            </w:pPr>
            <w:r w:rsidRPr="002A0CF6">
              <w:rPr>
                <w:rFonts w:ascii="Times New Roman" w:eastAsia="Cambria" w:hAnsi="Times New Roman" w:cs="Times New Roman"/>
                <w:b/>
                <w:bCs/>
                <w:sz w:val="24"/>
                <w:szCs w:val="24"/>
                <w:lang w:eastAsia="en-US"/>
              </w:rPr>
              <w:t>Proposta modifica</w:t>
            </w:r>
          </w:p>
        </w:tc>
      </w:tr>
      <w:tr w:rsidR="00296E09" w:rsidRPr="002A0CF6" w14:paraId="3833D50B" w14:textId="77777777" w:rsidTr="00C53604">
        <w:trPr>
          <w:trHeight w:val="2296"/>
        </w:trPr>
        <w:tc>
          <w:tcPr>
            <w:tcW w:w="6521" w:type="dxa"/>
            <w:tcBorders>
              <w:top w:val="single" w:sz="2" w:space="0" w:color="000000"/>
              <w:left w:val="single" w:sz="2" w:space="0" w:color="000000"/>
              <w:bottom w:val="single" w:sz="2" w:space="0" w:color="000000"/>
              <w:right w:val="single" w:sz="2" w:space="0" w:color="000000"/>
            </w:tcBorders>
          </w:tcPr>
          <w:p w14:paraId="73E8C88B"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b/>
                <w:bCs/>
                <w:sz w:val="22"/>
                <w:szCs w:val="22"/>
              </w:rPr>
              <w:t xml:space="preserve">Articolo 1. </w:t>
            </w:r>
          </w:p>
          <w:p w14:paraId="44628218"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i/>
                <w:iCs/>
                <w:sz w:val="22"/>
                <w:szCs w:val="22"/>
              </w:rPr>
              <w:t xml:space="preserve">Opere soggette a dibattito pubblico obbligatorio. </w:t>
            </w:r>
          </w:p>
          <w:p w14:paraId="1225A777" w14:textId="77777777" w:rsidR="00296E09" w:rsidRPr="002A0CF6" w:rsidRDefault="00296E09" w:rsidP="00296E09">
            <w:pPr>
              <w:numPr>
                <w:ilvl w:val="0"/>
                <w:numId w:val="1"/>
              </w:numPr>
              <w:spacing w:before="100" w:beforeAutospacing="1" w:after="100" w:afterAutospacing="1" w:line="225" w:lineRule="auto"/>
              <w:ind w:right="130"/>
              <w:jc w:val="both"/>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Sono soggette a dibattito pubblico obbligatorio, ai sensi dell’articolo 40, commi 1 e 8 del codice, le opere rientranti nelle tipologie di cui alla Tabella 1. </w:t>
            </w:r>
          </w:p>
          <w:p w14:paraId="4996446A" w14:textId="77777777" w:rsidR="00296E09" w:rsidRPr="002A0CF6" w:rsidRDefault="00296E09" w:rsidP="00296E09">
            <w:pPr>
              <w:numPr>
                <w:ilvl w:val="0"/>
                <w:numId w:val="1"/>
              </w:numPr>
              <w:spacing w:before="100" w:beforeAutospacing="1" w:after="100" w:afterAutospacing="1" w:line="225" w:lineRule="auto"/>
              <w:ind w:right="130"/>
              <w:jc w:val="both"/>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I parametri di riferimento delle soglie dimensionali delle opere inserite nell'Allegato 1 sono ridotti del 50 per cento se si tratta, con riferimento a particolari esigenze di salvaguardia, di interventi ricadenti, anche in parte: </w:t>
            </w:r>
          </w:p>
          <w:p w14:paraId="24CB7B97"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a) su beni del patrimonio culturale e naturale iscritti nella Lista del Patrimonio Mondiale dell'UNESCO, ai sensi della Conferenza sul Patrimonio Mondiale del 1977; </w:t>
            </w:r>
          </w:p>
          <w:p w14:paraId="2D51049B"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b) nella zona tampone come definita nelle Linee Guida Operative emanate dell'UNESCO; </w:t>
            </w:r>
          </w:p>
          <w:p w14:paraId="182A835B"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c) nei parchi nazionali e regionali e nelle aree marine protette. </w:t>
            </w:r>
          </w:p>
          <w:p w14:paraId="31FDF3C1"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3. Per le opere di cui alla Tabella 1, di importo compreso tra la soglia ivi indicata e due terzi della medesima, la stazione appaltante o l'ente concedente indice il dibattito pubblico su richiesta: </w:t>
            </w:r>
          </w:p>
          <w:p w14:paraId="767D07B4"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a) della Presidenza del Consiglio dei ministri o dei Ministeri direttamente interessati alla realizzazione dell'opera; </w:t>
            </w:r>
          </w:p>
          <w:p w14:paraId="359D875E"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b) di un Consiglio regionale o di una Provincia o di una Città metropolitana o di un comune capoluogo di provincia territorialmente interessati dall'intervento; </w:t>
            </w:r>
          </w:p>
          <w:p w14:paraId="775EE81A"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c) di uno o più consigli comunali o di unioni di comuni territorialmente interessati dall'intervento, se complessivamente rappresentativi di almeno centomila abitanti; </w:t>
            </w:r>
          </w:p>
          <w:p w14:paraId="0EFB2E2D" w14:textId="77777777" w:rsidR="00296E09" w:rsidRPr="002A0CF6" w:rsidRDefault="00296E09" w:rsidP="00C53604">
            <w:pPr>
              <w:spacing w:before="100" w:beforeAutospacing="1" w:after="100" w:afterAutospacing="1"/>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d) di almeno cinquantamila cittadini elettori nei territori in cui è previsto l'intervento;</w:t>
            </w:r>
          </w:p>
          <w:p w14:paraId="55272A38" w14:textId="77777777" w:rsidR="00296E09" w:rsidRPr="002A0CF6" w:rsidRDefault="00296E09" w:rsidP="00C53604">
            <w:pPr>
              <w:spacing w:before="100" w:beforeAutospacing="1" w:after="100" w:afterAutospacing="1"/>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e) di almeno un terzo dei cittadini elettori per gli interventi che interessano le isole con non più di centomila abitanti e per il territorio di comuni di montagna.</w:t>
            </w:r>
          </w:p>
        </w:tc>
        <w:tc>
          <w:tcPr>
            <w:tcW w:w="5386" w:type="dxa"/>
            <w:tcBorders>
              <w:top w:val="single" w:sz="2" w:space="0" w:color="000000"/>
              <w:left w:val="single" w:sz="2" w:space="0" w:color="000000"/>
              <w:bottom w:val="single" w:sz="2" w:space="0" w:color="000000"/>
              <w:right w:val="single" w:sz="2" w:space="0" w:color="000000"/>
            </w:tcBorders>
          </w:tcPr>
          <w:p w14:paraId="5A8B972F"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tc>
      </w:tr>
      <w:tr w:rsidR="00296E09" w:rsidRPr="002A0CF6" w14:paraId="2578902B" w14:textId="77777777" w:rsidTr="00C53604">
        <w:trPr>
          <w:trHeight w:val="4564"/>
        </w:trPr>
        <w:tc>
          <w:tcPr>
            <w:tcW w:w="6521" w:type="dxa"/>
            <w:tcBorders>
              <w:top w:val="single" w:sz="2" w:space="0" w:color="000000"/>
              <w:left w:val="single" w:sz="2" w:space="0" w:color="000000"/>
              <w:bottom w:val="single" w:sz="2" w:space="0" w:color="000000"/>
              <w:right w:val="single" w:sz="2" w:space="0" w:color="000000"/>
            </w:tcBorders>
          </w:tcPr>
          <w:p w14:paraId="3780E136"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b/>
                <w:bCs/>
                <w:sz w:val="22"/>
                <w:szCs w:val="22"/>
              </w:rPr>
              <w:t xml:space="preserve">Articolo 2. </w:t>
            </w:r>
          </w:p>
          <w:p w14:paraId="664CA2C4"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i/>
                <w:iCs/>
                <w:sz w:val="22"/>
                <w:szCs w:val="22"/>
              </w:rPr>
              <w:t xml:space="preserve">Esclusioni </w:t>
            </w:r>
          </w:p>
          <w:p w14:paraId="250D245A"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1. Il dibattito pubblico è escluso: </w:t>
            </w:r>
          </w:p>
          <w:p w14:paraId="043860CC"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a)  per le opere previste dai Titoli V e VI della Parte VII del libro II del codice e per quelle di difesa nazionale di cui all'articolo 233 del decreto legislativo 15 marzo 2010, n. 66; </w:t>
            </w:r>
          </w:p>
          <w:p w14:paraId="01E62C42"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b)  per interventi di manutenzione ordinaria e straordinaria, restauri, adeguamenti tecnologici e completamenti; </w:t>
            </w:r>
          </w:p>
          <w:p w14:paraId="763C91A7"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sz w:val="22"/>
                <w:szCs w:val="22"/>
              </w:rPr>
              <w:t>c)</w:t>
            </w:r>
            <w:r w:rsidRPr="002A0CF6">
              <w:rPr>
                <w:rFonts w:ascii="TimesNewRomanPS" w:eastAsia="Times New Roman" w:hAnsi="TimesNewRomanPS" w:cs="Times New Roman"/>
                <w:b/>
                <w:bCs/>
                <w:sz w:val="22"/>
                <w:szCs w:val="22"/>
              </w:rPr>
              <w:t xml:space="preserve">  </w:t>
            </w:r>
            <w:r w:rsidRPr="002A0CF6">
              <w:rPr>
                <w:rFonts w:ascii="TimesNewRomanPSMT" w:eastAsia="Times New Roman" w:hAnsi="TimesNewRomanPSMT" w:cs="Times New Roman"/>
                <w:sz w:val="22"/>
                <w:szCs w:val="22"/>
              </w:rPr>
              <w:t xml:space="preserve">per le opere già sottoposte a procedure preliminari di consultazione pubblica sulla base di norme europee. </w:t>
            </w:r>
          </w:p>
          <w:p w14:paraId="0CAC9DEC" w14:textId="77777777" w:rsidR="00296E09" w:rsidRPr="002A0CF6" w:rsidRDefault="00296E09" w:rsidP="00C53604">
            <w:pPr>
              <w:spacing w:line="216" w:lineRule="auto"/>
              <w:ind w:firstLine="4"/>
              <w:rPr>
                <w:rFonts w:ascii="Times New Roman" w:eastAsia="Times New Roman" w:hAnsi="Times New Roman" w:cs="Times New Roman"/>
                <w:color w:val="000000"/>
                <w:sz w:val="22"/>
                <w:szCs w:val="22"/>
              </w:rPr>
            </w:pPr>
          </w:p>
        </w:tc>
        <w:tc>
          <w:tcPr>
            <w:tcW w:w="5386" w:type="dxa"/>
            <w:tcBorders>
              <w:top w:val="single" w:sz="2" w:space="0" w:color="000000"/>
              <w:left w:val="single" w:sz="2" w:space="0" w:color="000000"/>
              <w:bottom w:val="single" w:sz="2" w:space="0" w:color="000000"/>
              <w:right w:val="single" w:sz="2" w:space="0" w:color="000000"/>
            </w:tcBorders>
          </w:tcPr>
          <w:p w14:paraId="553320A7"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tc>
      </w:tr>
      <w:tr w:rsidR="00296E09" w:rsidRPr="002A0CF6" w14:paraId="2D7C0776" w14:textId="77777777" w:rsidTr="00C53604">
        <w:trPr>
          <w:trHeight w:val="4387"/>
        </w:trPr>
        <w:tc>
          <w:tcPr>
            <w:tcW w:w="6521" w:type="dxa"/>
            <w:tcBorders>
              <w:top w:val="single" w:sz="2" w:space="0" w:color="000000"/>
              <w:left w:val="single" w:sz="2" w:space="0" w:color="000000"/>
              <w:bottom w:val="single" w:sz="2" w:space="0" w:color="000000"/>
              <w:right w:val="single" w:sz="2" w:space="0" w:color="000000"/>
            </w:tcBorders>
          </w:tcPr>
          <w:p w14:paraId="1D3F91DF"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b/>
                <w:bCs/>
                <w:sz w:val="22"/>
                <w:szCs w:val="22"/>
              </w:rPr>
              <w:t xml:space="preserve">Articolo 3. </w:t>
            </w:r>
          </w:p>
          <w:p w14:paraId="2ACBE018"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i/>
                <w:iCs/>
                <w:sz w:val="22"/>
                <w:szCs w:val="22"/>
              </w:rPr>
              <w:t xml:space="preserve">Indizione del dibattito pubblico. </w:t>
            </w:r>
          </w:p>
          <w:p w14:paraId="6A60C884" w14:textId="77777777" w:rsidR="00296E09" w:rsidRPr="002A0CF6" w:rsidRDefault="00296E09" w:rsidP="00296E09">
            <w:pPr>
              <w:numPr>
                <w:ilvl w:val="0"/>
                <w:numId w:val="2"/>
              </w:numPr>
              <w:spacing w:before="100" w:beforeAutospacing="1" w:after="100" w:afterAutospacing="1" w:line="225" w:lineRule="auto"/>
              <w:ind w:right="130"/>
              <w:jc w:val="both"/>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Le stazioni appaltanti e gli enti concedenti individuano, ciascuno secondo il proprio ordinamento, il soggetto titolare del potere di indire il dibattito pubblico che si svolge nelle fasi iniziali di elaborazione di un progetto di un'opera o di un intervento, in relazione ai contenuti del progetto di fattibilità ovvero del documento di fattibilità delle eventuali alternative progettuali. </w:t>
            </w:r>
          </w:p>
          <w:p w14:paraId="1DF95AF4" w14:textId="77777777" w:rsidR="00296E09" w:rsidRPr="002A0CF6" w:rsidRDefault="00296E09" w:rsidP="00296E09">
            <w:pPr>
              <w:numPr>
                <w:ilvl w:val="0"/>
                <w:numId w:val="2"/>
              </w:numPr>
              <w:spacing w:before="100" w:beforeAutospacing="1" w:after="100" w:afterAutospacing="1" w:line="225" w:lineRule="auto"/>
              <w:ind w:right="130"/>
              <w:jc w:val="both"/>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Il dibattito pubblico ha avvio con la pubblicazione, ai sensi dell’articolo 40, comma 3, del codice, della relazione di progetto dell’opera di cui all’articolo 5, comma 1, lettera a).</w:t>
            </w:r>
          </w:p>
        </w:tc>
        <w:tc>
          <w:tcPr>
            <w:tcW w:w="5386" w:type="dxa"/>
            <w:tcBorders>
              <w:top w:val="single" w:sz="2" w:space="0" w:color="000000"/>
              <w:left w:val="single" w:sz="2" w:space="0" w:color="000000"/>
              <w:bottom w:val="single" w:sz="2" w:space="0" w:color="000000"/>
              <w:right w:val="single" w:sz="2" w:space="0" w:color="000000"/>
            </w:tcBorders>
          </w:tcPr>
          <w:p w14:paraId="022304CE"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highlight w:val="yellow"/>
                <w:lang w:eastAsia="en-US"/>
              </w:rPr>
            </w:pPr>
          </w:p>
          <w:p w14:paraId="147C153A" w14:textId="77777777" w:rsidR="00296E09" w:rsidRPr="002A0CF6" w:rsidRDefault="00296E09" w:rsidP="00C53604">
            <w:pPr>
              <w:spacing w:before="100" w:beforeAutospacing="1" w:after="100" w:afterAutospacing="1"/>
              <w:rPr>
                <w:rFonts w:ascii="Times New Roman" w:eastAsia="Times New Roman" w:hAnsi="Times New Roman" w:cs="Times New Roman"/>
                <w:w w:val="105"/>
                <w:sz w:val="22"/>
                <w:szCs w:val="22"/>
              </w:rPr>
            </w:pPr>
          </w:p>
          <w:p w14:paraId="774702FF" w14:textId="77777777" w:rsidR="00296E09" w:rsidRPr="002A0CF6" w:rsidRDefault="00296E09" w:rsidP="00C53604">
            <w:pPr>
              <w:spacing w:before="100" w:beforeAutospacing="1" w:after="100" w:afterAutospacing="1"/>
              <w:rPr>
                <w:rFonts w:ascii="Times New Roman" w:eastAsia="Times New Roman" w:hAnsi="Times New Roman" w:cs="Times New Roman"/>
                <w:w w:val="105"/>
                <w:sz w:val="22"/>
                <w:szCs w:val="22"/>
              </w:rPr>
            </w:pPr>
          </w:p>
          <w:p w14:paraId="7A4AF8EE" w14:textId="77777777" w:rsidR="00296E09" w:rsidRPr="002A0CF6" w:rsidRDefault="00296E09" w:rsidP="00C53604">
            <w:pPr>
              <w:spacing w:before="100" w:beforeAutospacing="1" w:after="100" w:afterAutospacing="1"/>
              <w:rPr>
                <w:rFonts w:ascii="Times New Roman" w:eastAsia="Times New Roman" w:hAnsi="Times New Roman" w:cs="Times New Roman"/>
                <w:w w:val="105"/>
                <w:sz w:val="22"/>
                <w:szCs w:val="22"/>
              </w:rPr>
            </w:pPr>
          </w:p>
          <w:p w14:paraId="293CABE3" w14:textId="77777777" w:rsidR="00296E09" w:rsidRPr="002A0CF6" w:rsidRDefault="00296E09" w:rsidP="00C53604">
            <w:pPr>
              <w:spacing w:before="100" w:beforeAutospacing="1" w:after="100" w:afterAutospacing="1"/>
              <w:rPr>
                <w:rFonts w:ascii="Times New Roman" w:eastAsia="Times New Roman" w:hAnsi="Times New Roman" w:cs="Times New Roman"/>
                <w:w w:val="105"/>
                <w:sz w:val="22"/>
                <w:szCs w:val="22"/>
              </w:rPr>
            </w:pPr>
          </w:p>
          <w:p w14:paraId="179AECD3" w14:textId="77777777" w:rsidR="00296E09" w:rsidRPr="002A0CF6" w:rsidRDefault="00296E09" w:rsidP="00C53604">
            <w:pPr>
              <w:spacing w:before="100" w:beforeAutospacing="1" w:after="100" w:afterAutospacing="1"/>
              <w:ind w:left="360"/>
              <w:rPr>
                <w:rFonts w:ascii="Times New Roman" w:eastAsia="Times New Roman" w:hAnsi="Times New Roman" w:cs="Times New Roman"/>
                <w:w w:val="105"/>
                <w:sz w:val="22"/>
                <w:szCs w:val="22"/>
              </w:rPr>
            </w:pPr>
          </w:p>
        </w:tc>
      </w:tr>
      <w:tr w:rsidR="00296E09" w:rsidRPr="002A0CF6" w14:paraId="3E8ABA59" w14:textId="77777777" w:rsidTr="00C53604">
        <w:trPr>
          <w:trHeight w:val="2721"/>
        </w:trPr>
        <w:tc>
          <w:tcPr>
            <w:tcW w:w="6521" w:type="dxa"/>
            <w:tcBorders>
              <w:top w:val="single" w:sz="2" w:space="0" w:color="000000"/>
              <w:left w:val="single" w:sz="2" w:space="0" w:color="000000"/>
              <w:bottom w:val="single" w:sz="2" w:space="0" w:color="000000"/>
              <w:right w:val="single" w:sz="2" w:space="0" w:color="000000"/>
            </w:tcBorders>
          </w:tcPr>
          <w:p w14:paraId="0A37052C"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b/>
                <w:bCs/>
                <w:sz w:val="22"/>
                <w:szCs w:val="22"/>
              </w:rPr>
              <w:t xml:space="preserve">Articolo 4. </w:t>
            </w:r>
          </w:p>
          <w:p w14:paraId="7BCE3183"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i/>
                <w:iCs/>
                <w:sz w:val="22"/>
                <w:szCs w:val="22"/>
              </w:rPr>
              <w:t xml:space="preserve">Responsabile del dibattito pubblico </w:t>
            </w:r>
          </w:p>
          <w:p w14:paraId="304E6833"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1. Il responsabile dell’unità organizzativa titolare del potere di spesa nomina, con immediatezza e, comunque, entro dieci giorni dalla determinazione di indizione di cui all’articolo 3, comma 1, il responsabile del dibattito pubblico tra i dipendenti in possesso di comprovata esperienza e competenza nella gestione di processi partecipativi, ovvero nella gestione ed esecuzione di attività di programmazione e pianificazione in materia infrastrutturale, urbanistica, territoriale e socio-economica. Su richiesta delle stazioni appaltati o degli enti concedenti, il responsabile del dibattito pubblico è individuato dal Ministero competente per materia tra i suoi dirigenti. Se l'amministrazione aggiudicatrice o l'ente aggiudicatore è un Ministero, il coordinatore è designato dalla Presidenza del Consiglio dei ministri tra i dirigenti delle pubbliche amministrazioni estranei al ministero interessato. Nel caso di comprovata assenza di dirigenti pubblici in possesso dei requisiti di cui al comma 1, il responsabile può essere individuato delle stazioni appaltati o degli enti concedenti mediante procedura di cui al codice, configurandosi come appalto di servizi. </w:t>
            </w:r>
          </w:p>
          <w:p w14:paraId="4B003EE0"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2. Non possono assumere l'incarico di coordinatore del dibattito pubblico i soggetti residenti o domiciliati nel territorio di una provincia o di una città metropolitana ove la stessa opera è localizzata. </w:t>
            </w:r>
          </w:p>
          <w:p w14:paraId="6378E2C0" w14:textId="77777777" w:rsidR="00296E09" w:rsidRPr="002A0CF6" w:rsidRDefault="00296E09" w:rsidP="00296E09">
            <w:pPr>
              <w:numPr>
                <w:ilvl w:val="0"/>
                <w:numId w:val="2"/>
              </w:numPr>
              <w:spacing w:before="100" w:beforeAutospacing="1" w:after="100" w:afterAutospacing="1" w:line="225" w:lineRule="auto"/>
              <w:ind w:right="130"/>
              <w:jc w:val="both"/>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Il responsabile del dibattito pubblico: </w:t>
            </w:r>
          </w:p>
          <w:p w14:paraId="2F9FD59D"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a) progetta le modalità di svolgimento del dibattito pubblico ed elabora, entro un mese dal conferimento dell'incarico, il documento di progetto del dibattito pubblico, stabilendo i temi di discussione, le modalità di partecipazione e comunicazione al pubblico, esclusivamente con l’utilizzo di strumenti informatici e telematici, salva la sussistenza di specifiche esigenze, motivate sulla base di elementi oggettivi, che rendano necessaria la calendarizzazione di incontri con diverse modalità; </w:t>
            </w:r>
          </w:p>
          <w:p w14:paraId="21D2B729"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b) valuta, ed eventualmente richiede, per una sola volta ed entro quindici giorni dalla sua ricezione, integrazioni e modifiche alla relazione di progetto di cui all'articolo 5, comma 1, lettera a); </w:t>
            </w:r>
          </w:p>
          <w:p w14:paraId="2BC9728B"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c) favorisce il confronto tra tutti i partecipanti al dibattito; </w:t>
            </w:r>
          </w:p>
          <w:p w14:paraId="6A3BFF62"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d) in modo oggettivo e trasparente, definisce e attua le modalità di comunicazione e informazione al pubblico, curando l’organizzazione e gli aggiornamenti della sezione del sito istituzionale di afferenza; </w:t>
            </w:r>
          </w:p>
          <w:p w14:paraId="1AC137FB"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e) redige la relazione conclusiva del dibattito pubblico di cui all'articolo 7, comma 1. </w:t>
            </w:r>
          </w:p>
        </w:tc>
        <w:tc>
          <w:tcPr>
            <w:tcW w:w="5386" w:type="dxa"/>
            <w:tcBorders>
              <w:top w:val="single" w:sz="2" w:space="0" w:color="000000"/>
              <w:left w:val="single" w:sz="2" w:space="0" w:color="000000"/>
              <w:bottom w:val="single" w:sz="2" w:space="0" w:color="000000"/>
              <w:right w:val="single" w:sz="2" w:space="0" w:color="000000"/>
            </w:tcBorders>
          </w:tcPr>
          <w:p w14:paraId="018D68D0" w14:textId="77777777" w:rsidR="00296E09" w:rsidRPr="002A0CF6" w:rsidRDefault="00296E09" w:rsidP="00C53604">
            <w:pPr>
              <w:widowControl w:val="0"/>
              <w:autoSpaceDE w:val="0"/>
              <w:autoSpaceDN w:val="0"/>
              <w:spacing w:before="152" w:line="252" w:lineRule="auto"/>
              <w:ind w:right="342"/>
              <w:jc w:val="both"/>
              <w:rPr>
                <w:rFonts w:ascii="TimesNewRomanPSMT" w:eastAsia="Cambria" w:hAnsi="TimesNewRomanPSMT" w:cs="Cambria"/>
                <w:sz w:val="22"/>
                <w:szCs w:val="22"/>
                <w:lang w:eastAsia="en-US"/>
              </w:rPr>
            </w:pPr>
          </w:p>
          <w:p w14:paraId="28FA91C3" w14:textId="77777777" w:rsidR="00296E09" w:rsidRPr="002A0CF6" w:rsidRDefault="00296E09" w:rsidP="00C53604">
            <w:pPr>
              <w:widowControl w:val="0"/>
              <w:autoSpaceDE w:val="0"/>
              <w:autoSpaceDN w:val="0"/>
              <w:spacing w:before="152" w:line="252" w:lineRule="auto"/>
              <w:ind w:right="342"/>
              <w:jc w:val="both"/>
              <w:rPr>
                <w:rFonts w:ascii="TimesNewRomanPSMT" w:eastAsia="Cambria" w:hAnsi="TimesNewRomanPSMT" w:cs="Cambria"/>
                <w:sz w:val="22"/>
                <w:szCs w:val="22"/>
                <w:lang w:eastAsia="en-US"/>
              </w:rPr>
            </w:pPr>
          </w:p>
          <w:p w14:paraId="2FB6A109" w14:textId="77777777" w:rsidR="00296E09" w:rsidRPr="002A0CF6" w:rsidRDefault="00296E09" w:rsidP="00296E09">
            <w:pPr>
              <w:widowControl w:val="0"/>
              <w:numPr>
                <w:ilvl w:val="0"/>
                <w:numId w:val="3"/>
              </w:numPr>
              <w:autoSpaceDE w:val="0"/>
              <w:autoSpaceDN w:val="0"/>
              <w:spacing w:before="152" w:after="4" w:line="252" w:lineRule="auto"/>
              <w:ind w:right="342"/>
              <w:jc w:val="both"/>
              <w:rPr>
                <w:rFonts w:ascii="Times New Roman" w:eastAsia="Cambria" w:hAnsi="Times New Roman" w:cs="Times New Roman"/>
                <w:color w:val="FF0000"/>
                <w:w w:val="105"/>
                <w:sz w:val="22"/>
                <w:szCs w:val="22"/>
                <w:lang w:eastAsia="en-US"/>
              </w:rPr>
            </w:pPr>
            <w:r w:rsidRPr="002A0CF6">
              <w:rPr>
                <w:rFonts w:ascii="TimesNewRomanPSMT" w:eastAsia="Cambria" w:hAnsi="TimesNewRomanPSMT" w:cs="Cambria"/>
                <w:sz w:val="22"/>
                <w:szCs w:val="22"/>
                <w:lang w:eastAsia="en-US"/>
              </w:rPr>
              <w:t xml:space="preserve">Il responsabile dell’unità organizzativa titolare del potere di spesa nomina, con immediatezza e, comunque, entro dieci giorni dalla determinazione di indizione di cui all’articolo 3, comma 1, il responsabile del dibattito pubblico </w:t>
            </w:r>
            <w:r w:rsidRPr="002A0CF6">
              <w:rPr>
                <w:rFonts w:ascii="Times New Roman" w:eastAsia="Cambria" w:hAnsi="Times New Roman" w:cs="Times New Roman"/>
                <w:color w:val="FF0000"/>
                <w:w w:val="105"/>
                <w:sz w:val="22"/>
                <w:szCs w:val="22"/>
                <w:lang w:eastAsia="en-US"/>
              </w:rPr>
              <w:t xml:space="preserve">scegliendolo nell’ambito dell’elenco di cui all’art. 46 del decreto-legge 31 maggio 2021, n. 77, convertito nella legge 29 luglio 2021, n. 108, a cui possono essere ammessi dirigenti delle pubbliche amministrazioni e professionisti in possesso di specifici requisiti di esperienza e competenza definiti dalla Commissione Nazionale per il Dibattito Pubblico. Il responsabile del dibattito pubblico deve offrire adeguate garanzie di indipendenza e di neutralità. </w:t>
            </w:r>
          </w:p>
          <w:p w14:paraId="0C4CA848" w14:textId="77777777" w:rsidR="00296E09" w:rsidRPr="002A0CF6" w:rsidRDefault="00296E09" w:rsidP="00C53604">
            <w:pPr>
              <w:widowControl w:val="0"/>
              <w:autoSpaceDE w:val="0"/>
              <w:autoSpaceDN w:val="0"/>
              <w:spacing w:before="152" w:line="252" w:lineRule="auto"/>
              <w:ind w:left="453" w:right="342"/>
              <w:jc w:val="both"/>
              <w:rPr>
                <w:rFonts w:ascii="Times New Roman" w:eastAsia="Cambria" w:hAnsi="Times New Roman" w:cs="Times New Roman"/>
                <w:color w:val="FF0000"/>
                <w:w w:val="105"/>
                <w:sz w:val="22"/>
                <w:szCs w:val="22"/>
                <w:lang w:eastAsia="en-US"/>
              </w:rPr>
            </w:pPr>
          </w:p>
          <w:p w14:paraId="73E0915B" w14:textId="77777777" w:rsidR="00296E09" w:rsidRPr="002A0CF6" w:rsidRDefault="00296E09" w:rsidP="00C53604">
            <w:pPr>
              <w:spacing w:before="100" w:beforeAutospacing="1" w:after="100" w:afterAutospacing="1"/>
              <w:rPr>
                <w:rFonts w:ascii="TimesNewRomanPSMT" w:eastAsia="Times New Roman" w:hAnsi="TimesNewRomanPSMT" w:cs="Times New Roman"/>
                <w:sz w:val="22"/>
                <w:szCs w:val="22"/>
              </w:rPr>
            </w:pPr>
          </w:p>
          <w:p w14:paraId="0935454A" w14:textId="77777777" w:rsidR="00296E09" w:rsidRPr="002A0CF6" w:rsidRDefault="00296E09" w:rsidP="00C53604">
            <w:pPr>
              <w:spacing w:before="100" w:beforeAutospacing="1" w:after="100" w:afterAutospacing="1"/>
              <w:rPr>
                <w:rFonts w:ascii="TimesNewRomanPSMT" w:eastAsia="Times New Roman" w:hAnsi="TimesNewRomanPSMT" w:cs="Times New Roman"/>
                <w:sz w:val="22"/>
                <w:szCs w:val="22"/>
              </w:rPr>
            </w:pPr>
          </w:p>
          <w:p w14:paraId="5BAFCF12" w14:textId="77777777" w:rsidR="00296E09" w:rsidRPr="002A0CF6" w:rsidRDefault="00296E09" w:rsidP="00C53604">
            <w:pPr>
              <w:spacing w:before="100" w:beforeAutospacing="1" w:after="100" w:afterAutospacing="1"/>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3.Il responsabile del dibattito pubblico: </w:t>
            </w:r>
          </w:p>
          <w:p w14:paraId="02A7BF4F"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a) progetta le modalità di svolgimento del dibattito pubblico ed elabora, entro un mese dal conferimento dell'incarico, il documento di progetto del dibattito pubblico, stabilendo i temi di discussione, le modalità di partecipazione e comunicazione al pubblico, </w:t>
            </w:r>
            <w:r w:rsidRPr="002A0CF6">
              <w:rPr>
                <w:rFonts w:ascii="TimesNewRomanPSMT" w:eastAsia="Times New Roman" w:hAnsi="TimesNewRomanPSMT" w:cs="Times New Roman"/>
                <w:color w:val="FF0000"/>
                <w:sz w:val="22"/>
                <w:szCs w:val="22"/>
              </w:rPr>
              <w:t>la calendarizzazione degli incontri in presenza e in collegamento</w:t>
            </w:r>
            <w:r w:rsidRPr="002A0CF6">
              <w:rPr>
                <w:rFonts w:ascii="TimesNewRomanPSMT" w:eastAsia="Times New Roman" w:hAnsi="TimesNewRomanPSMT" w:cs="Times New Roman"/>
                <w:sz w:val="22"/>
                <w:szCs w:val="22"/>
              </w:rPr>
              <w:t xml:space="preserve">; </w:t>
            </w:r>
          </w:p>
          <w:p w14:paraId="7862DE09"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p>
          <w:p w14:paraId="03ED0326"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p>
          <w:p w14:paraId="369E875F"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p>
          <w:p w14:paraId="7ABC14AF"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p>
          <w:p w14:paraId="1C72813A"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p>
          <w:p w14:paraId="6FD44717"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p>
          <w:p w14:paraId="3DB81FF6"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p>
          <w:p w14:paraId="5BAEFBB4"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e) redige la relazione conclusiva del dibattito pubblico di cui all'articolo 7, comma 1, </w:t>
            </w:r>
            <w:r w:rsidRPr="002A0CF6">
              <w:rPr>
                <w:rFonts w:ascii="TimesNewRomanPSMT" w:eastAsia="Times New Roman" w:hAnsi="TimesNewRomanPSMT" w:cs="Times New Roman"/>
                <w:color w:val="FF0000"/>
                <w:sz w:val="22"/>
                <w:szCs w:val="22"/>
              </w:rPr>
              <w:t>dando conto delle proposte e osservazioni emerse nel corso del dibattito pubblico</w:t>
            </w:r>
            <w:r w:rsidRPr="002A0CF6">
              <w:rPr>
                <w:rFonts w:ascii="TimesNewRomanPSMT" w:eastAsia="Times New Roman" w:hAnsi="TimesNewRomanPSMT" w:cs="Times New Roman"/>
                <w:sz w:val="22"/>
                <w:szCs w:val="22"/>
              </w:rPr>
              <w:t>.</w:t>
            </w:r>
          </w:p>
          <w:p w14:paraId="62FB1256"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p>
          <w:p w14:paraId="54FB674D" w14:textId="77777777" w:rsidR="00296E09" w:rsidRPr="002A0CF6" w:rsidRDefault="00296E09" w:rsidP="00C53604">
            <w:pPr>
              <w:spacing w:before="100" w:beforeAutospacing="1" w:after="100" w:afterAutospacing="1"/>
              <w:ind w:left="360"/>
              <w:rPr>
                <w:rFonts w:ascii="TimesNewRomanPSMT" w:eastAsia="Times New Roman" w:hAnsi="TimesNewRomanPSMT" w:cs="Times New Roman"/>
                <w:sz w:val="22"/>
                <w:szCs w:val="22"/>
              </w:rPr>
            </w:pPr>
          </w:p>
          <w:p w14:paraId="4BB6CAB1" w14:textId="77777777" w:rsidR="00296E09" w:rsidRPr="002A0CF6" w:rsidRDefault="00296E09" w:rsidP="00C53604">
            <w:pPr>
              <w:widowControl w:val="0"/>
              <w:autoSpaceDE w:val="0"/>
              <w:autoSpaceDN w:val="0"/>
              <w:spacing w:before="152" w:line="252" w:lineRule="auto"/>
              <w:ind w:left="453" w:right="342"/>
              <w:jc w:val="both"/>
              <w:rPr>
                <w:rFonts w:ascii="Times New Roman" w:eastAsia="Cambria" w:hAnsi="Times New Roman" w:cs="Times New Roman"/>
                <w:w w:val="105"/>
                <w:sz w:val="22"/>
                <w:szCs w:val="22"/>
                <w:lang w:eastAsia="en-US"/>
              </w:rPr>
            </w:pPr>
          </w:p>
        </w:tc>
      </w:tr>
      <w:tr w:rsidR="00296E09" w:rsidRPr="002A0CF6" w14:paraId="2C53CDC8" w14:textId="77777777" w:rsidTr="00C53604">
        <w:trPr>
          <w:trHeight w:val="3997"/>
        </w:trPr>
        <w:tc>
          <w:tcPr>
            <w:tcW w:w="6521" w:type="dxa"/>
            <w:tcBorders>
              <w:top w:val="single" w:sz="2" w:space="0" w:color="000000"/>
              <w:left w:val="single" w:sz="2" w:space="0" w:color="000000"/>
              <w:bottom w:val="single" w:sz="2" w:space="0" w:color="000000"/>
              <w:right w:val="single" w:sz="2" w:space="0" w:color="000000"/>
            </w:tcBorders>
          </w:tcPr>
          <w:p w14:paraId="6B1BBE33"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b/>
                <w:bCs/>
                <w:sz w:val="22"/>
                <w:szCs w:val="22"/>
              </w:rPr>
              <w:t xml:space="preserve">Articolo 5. </w:t>
            </w:r>
          </w:p>
          <w:p w14:paraId="225C8A83"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i/>
                <w:iCs/>
                <w:sz w:val="22"/>
                <w:szCs w:val="22"/>
              </w:rPr>
              <w:t xml:space="preserve">Funzioni e compiti della stazione appaltante e dell’ente concedente. </w:t>
            </w:r>
          </w:p>
          <w:p w14:paraId="533A914A"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1. La stazione appaltante o l’ente concedente provvede a: </w:t>
            </w:r>
          </w:p>
          <w:p w14:paraId="08E4AB96"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a)  elaborare la relazione di progetto dell'opera, scritta in linguaggio chiaro e comprensibile, in cui è motivata l'opportunità dell'intervento e sono descritte le soluzioni progettuali proposte, comprensive delle valutazioni degli impatti sociali, ambientali ed economici, in coerenza con le linee guida di cui all'articolo 8 del decreto legislativo del 29 dicembre 2011, n. 228; </w:t>
            </w:r>
          </w:p>
          <w:p w14:paraId="47975BF4"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b) pubblicare sul proprio sito istituzionale e richiedere la pubblicazione sui siti istituzionali delle amministrazioni locali interessate dall'intervento della relazione di cui alla lettera a); </w:t>
            </w:r>
          </w:p>
          <w:p w14:paraId="14AF7DE7"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c)  comunicare al Dipartimento per le opere pubbliche, le politiche abitative e urbane, le infrastrutture idriche e le risorse umane e strumentali del Ministero delle infrastrutture e dei trasporti l'indizione del procedimento del dibattito pubblico e la relativa conclusione; </w:t>
            </w:r>
          </w:p>
          <w:p w14:paraId="2B7DCDBA"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d)  fornire le informazioni sull'intervento e, ove significativo, sulle alternative progettuali esaminate nella prima fase del progetto di fattibilità; </w:t>
            </w:r>
          </w:p>
          <w:p w14:paraId="144A2500"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e)  partecipare in modo attivo alle attività previste dal dibattito pubblico e fornire il supporto necessario per rispondere ai quesiti emersi nel corso del dibattito pubblico; </w:t>
            </w:r>
          </w:p>
          <w:p w14:paraId="7B7A2EF6"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f)  valutare i risultati e le proposte emersi nel corso del dibattito pubblico e redigere un documento conclusivo in cui si evidenzia la </w:t>
            </w:r>
            <w:proofErr w:type="spellStart"/>
            <w:r w:rsidRPr="002A0CF6">
              <w:rPr>
                <w:rFonts w:ascii="TimesNewRomanPSMT" w:eastAsia="Times New Roman" w:hAnsi="TimesNewRomanPSMT" w:cs="Times New Roman"/>
                <w:sz w:val="22"/>
                <w:szCs w:val="22"/>
              </w:rPr>
              <w:t>volonta</w:t>
            </w:r>
            <w:proofErr w:type="spellEnd"/>
            <w:r w:rsidRPr="002A0CF6">
              <w:rPr>
                <w:rFonts w:ascii="TimesNewRomanPSMT" w:eastAsia="Times New Roman" w:hAnsi="TimesNewRomanPSMT" w:cs="Times New Roman"/>
                <w:sz w:val="22"/>
                <w:szCs w:val="22"/>
              </w:rPr>
              <w:t xml:space="preserve">̀ o meno di realizzare l'intervento, le eventuali modifiche da apportare al progetto e le ragioni che hanno condotto a non accogliere eventuali proposte; </w:t>
            </w:r>
          </w:p>
          <w:p w14:paraId="19689BE4"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g)  sostenere i costi relativi allo svolgimento del dibattito pubblico, previsti negli oneri della progettazione dell'intervento di cui all'articolo 41, comma 9, del codice. </w:t>
            </w:r>
          </w:p>
          <w:p w14:paraId="5D312B81" w14:textId="77777777" w:rsidR="00296E09" w:rsidRPr="002A0CF6" w:rsidRDefault="00296E09" w:rsidP="00C53604">
            <w:pPr>
              <w:spacing w:line="216" w:lineRule="auto"/>
              <w:ind w:left="14" w:hanging="14"/>
              <w:rPr>
                <w:rFonts w:ascii="Times New Roman" w:eastAsia="Times New Roman" w:hAnsi="Times New Roman" w:cs="Times New Roman"/>
                <w:color w:val="000000"/>
                <w:sz w:val="22"/>
                <w:szCs w:val="22"/>
              </w:rPr>
            </w:pPr>
          </w:p>
        </w:tc>
        <w:tc>
          <w:tcPr>
            <w:tcW w:w="5386" w:type="dxa"/>
            <w:tcBorders>
              <w:top w:val="single" w:sz="2" w:space="0" w:color="000000"/>
              <w:left w:val="single" w:sz="2" w:space="0" w:color="000000"/>
              <w:bottom w:val="single" w:sz="2" w:space="0" w:color="000000"/>
              <w:right w:val="single" w:sz="2" w:space="0" w:color="000000"/>
            </w:tcBorders>
          </w:tcPr>
          <w:p w14:paraId="425EDE1D"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4C7BC7BD"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43AA8942"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00607C87"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1095E877"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6203D128"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477BCF04"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73C1B68C"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698520DA"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334A3F1C"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4263EEF0"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0ED237E5"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31B70357"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c)  comunicare alla </w:t>
            </w:r>
            <w:r w:rsidRPr="002A0CF6">
              <w:rPr>
                <w:rFonts w:ascii="TimesNewRomanPSMT" w:eastAsia="Times New Roman" w:hAnsi="TimesNewRomanPSMT" w:cs="Times New Roman"/>
                <w:color w:val="FF0000"/>
                <w:sz w:val="22"/>
                <w:szCs w:val="22"/>
              </w:rPr>
              <w:t xml:space="preserve">Commissione Nazionale per il Dibattito Pubblico </w:t>
            </w:r>
            <w:r w:rsidRPr="002A0CF6">
              <w:rPr>
                <w:rFonts w:ascii="TimesNewRomanPSMT" w:eastAsia="Times New Roman" w:hAnsi="TimesNewRomanPSMT" w:cs="Times New Roman"/>
                <w:sz w:val="22"/>
                <w:szCs w:val="22"/>
              </w:rPr>
              <w:t xml:space="preserve">e al Dipartimento per le opere pubbliche, le politiche abitative e urbane, le infrastrutture idriche e le risorse umane e strumentali del Ministero delle infrastrutture e dei trasporti l'indizione del procedimento del dibattito pubblico e la relativa conclusione; </w:t>
            </w:r>
          </w:p>
          <w:p w14:paraId="5507EE74"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tc>
      </w:tr>
      <w:tr w:rsidR="00296E09" w:rsidRPr="002A0CF6" w14:paraId="4C3E26BF" w14:textId="77777777" w:rsidTr="00C53604">
        <w:trPr>
          <w:trHeight w:val="5442"/>
        </w:trPr>
        <w:tc>
          <w:tcPr>
            <w:tcW w:w="6521" w:type="dxa"/>
            <w:tcBorders>
              <w:top w:val="single" w:sz="2" w:space="0" w:color="000000"/>
              <w:left w:val="single" w:sz="2" w:space="0" w:color="000000"/>
              <w:bottom w:val="single" w:sz="2" w:space="0" w:color="000000"/>
              <w:right w:val="single" w:sz="2" w:space="0" w:color="000000"/>
            </w:tcBorders>
          </w:tcPr>
          <w:p w14:paraId="260A2BE1"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b/>
                <w:bCs/>
                <w:sz w:val="22"/>
                <w:szCs w:val="22"/>
              </w:rPr>
              <w:t xml:space="preserve">Articolo 6. </w:t>
            </w:r>
          </w:p>
          <w:p w14:paraId="6F420F62"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i/>
                <w:iCs/>
                <w:sz w:val="22"/>
                <w:szCs w:val="22"/>
              </w:rPr>
              <w:t xml:space="preserve">Svolgimento del dibattito pubblico. </w:t>
            </w:r>
          </w:p>
          <w:p w14:paraId="545508BA" w14:textId="77777777" w:rsidR="00296E09" w:rsidRPr="002A0CF6" w:rsidRDefault="00296E09" w:rsidP="00296E09">
            <w:pPr>
              <w:numPr>
                <w:ilvl w:val="0"/>
                <w:numId w:val="4"/>
              </w:numPr>
              <w:spacing w:before="100" w:beforeAutospacing="1" w:after="100" w:afterAutospacing="1" w:line="225" w:lineRule="auto"/>
              <w:ind w:right="130"/>
              <w:jc w:val="both"/>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Dalla pubblicazione di cui all’articolo 3, comma 2, decorrono i termini di conclusione di cui all’articolo 40, comma 5, del codice. </w:t>
            </w:r>
          </w:p>
          <w:p w14:paraId="5D3CB796" w14:textId="77777777" w:rsidR="00296E09" w:rsidRPr="002A0CF6" w:rsidRDefault="00296E09" w:rsidP="00296E09">
            <w:pPr>
              <w:numPr>
                <w:ilvl w:val="0"/>
                <w:numId w:val="4"/>
              </w:numPr>
              <w:spacing w:before="100" w:beforeAutospacing="1" w:after="100" w:afterAutospacing="1" w:line="225" w:lineRule="auto"/>
              <w:ind w:right="130"/>
              <w:jc w:val="both"/>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Il titolare del potere di indire il dibattito pubblico può prorogarne una sola volta e per la durata massima di due mesi il termine di conclusione di cui al comma 1, in caso di comprovata e motivata necessità. </w:t>
            </w:r>
          </w:p>
          <w:p w14:paraId="7D5BE488" w14:textId="77777777" w:rsidR="00296E09" w:rsidRPr="002A0CF6" w:rsidRDefault="00296E09" w:rsidP="00296E09">
            <w:pPr>
              <w:numPr>
                <w:ilvl w:val="0"/>
                <w:numId w:val="4"/>
              </w:numPr>
              <w:spacing w:before="100" w:beforeAutospacing="1" w:after="100" w:afterAutospacing="1" w:line="225" w:lineRule="auto"/>
              <w:ind w:right="130"/>
              <w:jc w:val="both"/>
              <w:rPr>
                <w:rFonts w:ascii="TimesNewRomanPSMT" w:eastAsia="Times New Roman" w:hAnsi="TimesNewRomanPSMT" w:cs="Times New Roman"/>
                <w:sz w:val="22"/>
                <w:szCs w:val="22"/>
              </w:rPr>
            </w:pPr>
            <w:r w:rsidRPr="002A0CF6">
              <w:rPr>
                <w:rFonts w:ascii="TimesNewRomanPSMT" w:eastAsia="Times New Roman" w:hAnsi="TimesNewRomanPSMT" w:cs="Times New Roman"/>
                <w:sz w:val="22"/>
                <w:szCs w:val="22"/>
              </w:rPr>
              <w:t xml:space="preserve">Gli enti legittimati ai sensi dell’articolo 40, comma 4, del codice, nel termine ivi stabilito, possono presentare osservazioni e proposte con le modalità stabilite dal responsabile del dibattito pubblico in conformità alle previsioni dell’articolo 4, comma 3, lettera a). </w:t>
            </w:r>
          </w:p>
        </w:tc>
        <w:tc>
          <w:tcPr>
            <w:tcW w:w="5386" w:type="dxa"/>
            <w:tcBorders>
              <w:top w:val="single" w:sz="2" w:space="0" w:color="000000"/>
              <w:left w:val="single" w:sz="2" w:space="0" w:color="000000"/>
              <w:bottom w:val="single" w:sz="2" w:space="0" w:color="000000"/>
              <w:right w:val="single" w:sz="2" w:space="0" w:color="000000"/>
            </w:tcBorders>
          </w:tcPr>
          <w:p w14:paraId="495B3CF4"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tc>
      </w:tr>
      <w:tr w:rsidR="00296E09" w:rsidRPr="002A0CF6" w14:paraId="7C1130F2" w14:textId="77777777" w:rsidTr="00C53604">
        <w:trPr>
          <w:trHeight w:val="5442"/>
        </w:trPr>
        <w:tc>
          <w:tcPr>
            <w:tcW w:w="6521" w:type="dxa"/>
            <w:tcBorders>
              <w:top w:val="single" w:sz="2" w:space="0" w:color="000000"/>
              <w:left w:val="single" w:sz="2" w:space="0" w:color="000000"/>
              <w:bottom w:val="single" w:sz="2" w:space="0" w:color="000000"/>
              <w:right w:val="single" w:sz="2" w:space="0" w:color="000000"/>
            </w:tcBorders>
          </w:tcPr>
          <w:p w14:paraId="07613985"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b/>
                <w:bCs/>
                <w:sz w:val="22"/>
                <w:szCs w:val="22"/>
              </w:rPr>
              <w:t xml:space="preserve">Articolo 7. </w:t>
            </w:r>
          </w:p>
          <w:p w14:paraId="37E84569"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 w:eastAsia="Times New Roman" w:hAnsi="TimesNewRomanPS" w:cs="Times New Roman"/>
                <w:i/>
                <w:iCs/>
                <w:sz w:val="22"/>
                <w:szCs w:val="22"/>
              </w:rPr>
              <w:t xml:space="preserve">Conclusione del dibattito pubblico. </w:t>
            </w:r>
          </w:p>
          <w:p w14:paraId="64BB996B"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1. Nel termine di cui all’articolo 40, comma 5, del codice, il responsabile del dibattito pubblico presenta alla stazione appaltante o all’ente concedente la relazione conclusiva sull'andamento dell'intera procedura, oggetto di pubblicazione sul sito istituzionale della stazione appaltante o dell’ente concedente, nonché sui siti istituzionali delle amministrazioni locali interessate dall'intervento, che contiene: </w:t>
            </w:r>
          </w:p>
          <w:p w14:paraId="0BF99AA1"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a) la descrizione delle attività svolte nel corso del dibattito pubblico; </w:t>
            </w:r>
          </w:p>
          <w:p w14:paraId="01ADD687"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b) la sintesi dei temi, in modo imparziale, trasparente e oggettivo, delle posizioni e delle proposte emerse nel corso del dibattito; </w:t>
            </w:r>
          </w:p>
          <w:p w14:paraId="050BA9D3"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c) la descrizione delle questioni aperte e maggiormente problematiche rispetto alle quali si chiede alla stazione appaltante o all’ente concedente di prendere posizione nella relazione conclusiva, di cui all'articolo 4, comma 3, lettera e), con l’eventuale indicazione delle proposte ritenute meritevoli di accoglimento. </w:t>
            </w:r>
          </w:p>
          <w:p w14:paraId="2B7EC0A6" w14:textId="77777777" w:rsidR="00296E09" w:rsidRPr="002A0CF6" w:rsidRDefault="00296E09" w:rsidP="00C53604">
            <w:pPr>
              <w:spacing w:before="100" w:beforeAutospacing="1" w:after="100" w:afterAutospacing="1"/>
              <w:rPr>
                <w:rFonts w:ascii="Times New Roman" w:eastAsia="Times New Roman" w:hAnsi="Times New Roman" w:cs="Times New Roman"/>
                <w:sz w:val="24"/>
                <w:szCs w:val="24"/>
              </w:rPr>
            </w:pPr>
            <w:r w:rsidRPr="002A0CF6">
              <w:rPr>
                <w:rFonts w:ascii="TimesNewRomanPSMT" w:eastAsia="Times New Roman" w:hAnsi="TimesNewRomanPSMT" w:cs="Times New Roman"/>
                <w:sz w:val="22"/>
                <w:szCs w:val="22"/>
              </w:rPr>
              <w:t xml:space="preserve">2. La stazione appaltante o l’ente concedente, entro due mesi successivi dalla ricezione della relazione di cui al comma 1, adotta il proprio documento conclusivo, di cui all'articolo 5, comma 1, lettera f), del quale viene data comunicazione mediante pubblicazione sul proprio sito istituzionale e sui siti istituzionali delle amministrazioni locali interessate dall’intervento, nonché al Dipartimento di cui all’articolo 5, comma 1, lettera c). </w:t>
            </w:r>
          </w:p>
          <w:p w14:paraId="38B1653B" w14:textId="77777777" w:rsidR="00296E09" w:rsidRPr="002A0CF6" w:rsidRDefault="00296E09" w:rsidP="00C53604">
            <w:pPr>
              <w:spacing w:line="216" w:lineRule="auto"/>
              <w:ind w:left="14" w:hanging="14"/>
              <w:rPr>
                <w:rFonts w:ascii="Times New Roman" w:eastAsia="Times New Roman" w:hAnsi="Times New Roman" w:cs="Times New Roman"/>
                <w:color w:val="000000"/>
                <w:sz w:val="22"/>
                <w:szCs w:val="22"/>
              </w:rPr>
            </w:pPr>
          </w:p>
        </w:tc>
        <w:tc>
          <w:tcPr>
            <w:tcW w:w="5386" w:type="dxa"/>
            <w:tcBorders>
              <w:top w:val="single" w:sz="2" w:space="0" w:color="000000"/>
              <w:left w:val="single" w:sz="2" w:space="0" w:color="000000"/>
              <w:bottom w:val="single" w:sz="2" w:space="0" w:color="000000"/>
              <w:right w:val="single" w:sz="2" w:space="0" w:color="000000"/>
            </w:tcBorders>
          </w:tcPr>
          <w:p w14:paraId="08855739"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7E6FEC23"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26C2F107"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1FA56C31"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283454B1"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7AA1C950"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2BB4F90D"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58C32C48"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5286A7B6"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12DCDDFE"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3E3D09D4"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46AED877"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3CB32DE3"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40F44371"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75CC280E"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34299168"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39BC010C" w14:textId="77777777" w:rsidR="00296E09" w:rsidRPr="002A0CF6" w:rsidRDefault="00296E09" w:rsidP="00C53604">
            <w:pPr>
              <w:widowControl w:val="0"/>
              <w:autoSpaceDE w:val="0"/>
              <w:autoSpaceDN w:val="0"/>
              <w:spacing w:before="152" w:line="252" w:lineRule="auto"/>
              <w:ind w:right="342"/>
              <w:jc w:val="both"/>
              <w:rPr>
                <w:rFonts w:ascii="Times New Roman" w:eastAsia="Cambria" w:hAnsi="Times New Roman" w:cs="Times New Roman"/>
                <w:w w:val="105"/>
                <w:sz w:val="22"/>
                <w:szCs w:val="22"/>
                <w:lang w:eastAsia="en-US"/>
              </w:rPr>
            </w:pPr>
          </w:p>
          <w:p w14:paraId="7C810106" w14:textId="77777777" w:rsidR="00296E09" w:rsidRPr="002A0CF6" w:rsidRDefault="00296E09" w:rsidP="00C53604">
            <w:pPr>
              <w:widowControl w:val="0"/>
              <w:autoSpaceDE w:val="0"/>
              <w:autoSpaceDN w:val="0"/>
              <w:spacing w:before="152" w:line="252" w:lineRule="auto"/>
              <w:ind w:right="342"/>
              <w:rPr>
                <w:rFonts w:ascii="Times New Roman" w:eastAsia="Cambria" w:hAnsi="Times New Roman" w:cs="Times New Roman"/>
                <w:w w:val="105"/>
                <w:sz w:val="22"/>
                <w:szCs w:val="22"/>
                <w:lang w:eastAsia="en-US"/>
              </w:rPr>
            </w:pPr>
            <w:r w:rsidRPr="002A0CF6">
              <w:rPr>
                <w:rFonts w:ascii="TimesNewRomanPSMT" w:eastAsia="Cambria" w:hAnsi="TimesNewRomanPSMT" w:cs="Cambria"/>
                <w:sz w:val="22"/>
                <w:szCs w:val="22"/>
                <w:lang w:eastAsia="en-US"/>
              </w:rPr>
              <w:t xml:space="preserve">2. La stazione appaltante o l’ente concedente, entro due mesi successivi dalla ricezione della relazione di cui al comma 1, adotta il proprio documento conclusivo, di cui all'articolo 5, comma 1, lettera f), del quale viene data comunicazione mediante pubblicazione sul proprio sito istituzionale e sui siti istituzionali delle amministrazioni locali interessate dall’intervento, </w:t>
            </w:r>
            <w:r w:rsidRPr="002A0CF6">
              <w:rPr>
                <w:rFonts w:ascii="TimesNewRomanPSMT" w:eastAsia="Cambria" w:hAnsi="TimesNewRomanPSMT" w:cs="Cambria"/>
                <w:color w:val="FF0000"/>
                <w:sz w:val="22"/>
                <w:szCs w:val="22"/>
                <w:lang w:eastAsia="en-US"/>
              </w:rPr>
              <w:t>nonché della Commissione Nazionale per il Dibattito Pubblico</w:t>
            </w:r>
            <w:r w:rsidRPr="002A0CF6">
              <w:rPr>
                <w:rFonts w:ascii="TimesNewRomanPSMT" w:eastAsia="Cambria" w:hAnsi="TimesNewRomanPSMT" w:cs="Cambria"/>
                <w:sz w:val="22"/>
                <w:szCs w:val="22"/>
                <w:lang w:eastAsia="en-US"/>
              </w:rPr>
              <w:t xml:space="preserve"> </w:t>
            </w:r>
            <w:r w:rsidRPr="002A0CF6">
              <w:rPr>
                <w:rFonts w:ascii="TimesNewRomanPSMT" w:eastAsia="Cambria" w:hAnsi="TimesNewRomanPSMT" w:cs="Cambria"/>
                <w:color w:val="FF0000"/>
                <w:sz w:val="22"/>
                <w:szCs w:val="22"/>
                <w:lang w:eastAsia="en-US"/>
              </w:rPr>
              <w:t>e del</w:t>
            </w:r>
            <w:r w:rsidRPr="002A0CF6">
              <w:rPr>
                <w:rFonts w:ascii="TimesNewRomanPSMT" w:eastAsia="Cambria" w:hAnsi="TimesNewRomanPSMT" w:cs="Cambria"/>
                <w:sz w:val="22"/>
                <w:szCs w:val="22"/>
                <w:lang w:eastAsia="en-US"/>
              </w:rPr>
              <w:t xml:space="preserve"> Dipartimento di cui all’articolo 5, comma 1, lettera c).</w:t>
            </w:r>
          </w:p>
        </w:tc>
      </w:tr>
    </w:tbl>
    <w:p w14:paraId="3A8FB82A" w14:textId="77777777" w:rsidR="00296E09" w:rsidRPr="002A0CF6" w:rsidRDefault="00296E09" w:rsidP="00296E09">
      <w:pPr>
        <w:spacing w:after="4" w:line="225" w:lineRule="auto"/>
        <w:ind w:right="130" w:firstLine="4"/>
        <w:jc w:val="both"/>
        <w:rPr>
          <w:rFonts w:ascii="Times New Roman" w:eastAsia="Times New Roman" w:hAnsi="Times New Roman" w:cs="Times New Roman"/>
          <w:color w:val="000000"/>
          <w:sz w:val="22"/>
          <w:szCs w:val="22"/>
        </w:rPr>
      </w:pPr>
    </w:p>
    <w:p w14:paraId="3698EDAA" w14:textId="77777777" w:rsidR="00296E09" w:rsidRDefault="00296E09" w:rsidP="00296E09">
      <w:pPr>
        <w:rPr>
          <w:rFonts w:ascii="Times New Roman" w:eastAsia="Times New Roman" w:hAnsi="Times New Roman" w:cs="Times New Roman"/>
          <w:b/>
        </w:rPr>
      </w:pPr>
    </w:p>
    <w:p w14:paraId="23E25466" w14:textId="77777777" w:rsidR="000F097C" w:rsidRDefault="000F097C"/>
    <w:sectPr w:rsidR="000F097C">
      <w:footerReference w:type="even" r:id="rId7"/>
      <w:footerReference w:type="default" r:id="rId8"/>
      <w:pgSz w:w="16820" w:h="11900" w:orient="landscape"/>
      <w:pgMar w:top="1134" w:right="1134"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6FDF" w14:textId="77777777" w:rsidR="00000000" w:rsidRDefault="00375CD4">
      <w:r>
        <w:separator/>
      </w:r>
    </w:p>
  </w:endnote>
  <w:endnote w:type="continuationSeparator" w:id="0">
    <w:p w14:paraId="43BF1ECB" w14:textId="77777777" w:rsidR="00000000" w:rsidRDefault="0037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35D4" w14:textId="77777777" w:rsidR="00DC2B0D" w:rsidRDefault="00296E09" w:rsidP="00096C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65A5C39B" w14:textId="77777777" w:rsidR="00DC2B0D" w:rsidRDefault="00375CD4" w:rsidP="00DC2B0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1822755"/>
      <w:docPartObj>
        <w:docPartGallery w:val="Page Numbers (Bottom of Page)"/>
        <w:docPartUnique/>
      </w:docPartObj>
    </w:sdtPr>
    <w:sdtEndPr>
      <w:rPr>
        <w:rStyle w:val="Numeropagina"/>
      </w:rPr>
    </w:sdtEndPr>
    <w:sdtContent>
      <w:p w14:paraId="01090E0C" w14:textId="77777777" w:rsidR="00DC2B0D" w:rsidRDefault="00296E09" w:rsidP="00096C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11</w:t>
        </w:r>
        <w:r>
          <w:rPr>
            <w:rStyle w:val="Numeropagina"/>
          </w:rPr>
          <w:fldChar w:fldCharType="end"/>
        </w:r>
      </w:p>
    </w:sdtContent>
  </w:sdt>
  <w:p w14:paraId="536C966F" w14:textId="77777777" w:rsidR="00DC2B0D" w:rsidRDefault="00375CD4" w:rsidP="00DC2B0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8507" w14:textId="77777777" w:rsidR="00000000" w:rsidRDefault="00375CD4">
      <w:r>
        <w:separator/>
      </w:r>
    </w:p>
  </w:footnote>
  <w:footnote w:type="continuationSeparator" w:id="0">
    <w:p w14:paraId="7342B118" w14:textId="77777777" w:rsidR="00000000" w:rsidRDefault="0037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F9C"/>
    <w:multiLevelType w:val="multilevel"/>
    <w:tmpl w:val="C07614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1785A9D"/>
    <w:multiLevelType w:val="multilevel"/>
    <w:tmpl w:val="19A8A4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634752"/>
    <w:multiLevelType w:val="multilevel"/>
    <w:tmpl w:val="D62A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F5DD3"/>
    <w:multiLevelType w:val="hybridMultilevel"/>
    <w:tmpl w:val="211A32FA"/>
    <w:lvl w:ilvl="0" w:tplc="C2108912">
      <w:start w:val="1"/>
      <w:numFmt w:val="decimal"/>
      <w:lvlText w:val="%1."/>
      <w:lvlJc w:val="left"/>
      <w:pPr>
        <w:ind w:left="460" w:hanging="460"/>
      </w:pPr>
      <w:rPr>
        <w:rFonts w:ascii="TimesNewRomanPSMT" w:hAnsi="TimesNewRomanPSMT" w:cs="Cambria" w:hint="default"/>
        <w:color w:val="auto"/>
        <w:w w:val="1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713383435">
    <w:abstractNumId w:val="0"/>
  </w:num>
  <w:num w:numId="2" w16cid:durableId="1131559884">
    <w:abstractNumId w:val="1"/>
  </w:num>
  <w:num w:numId="3" w16cid:durableId="894703036">
    <w:abstractNumId w:val="3"/>
  </w:num>
  <w:num w:numId="4" w16cid:durableId="1668752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09"/>
    <w:rsid w:val="000F097C"/>
    <w:rsid w:val="00296E09"/>
    <w:rsid w:val="00375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C0B5"/>
  <w15:chartTrackingRefBased/>
  <w15:docId w15:val="{4CC5F2E7-C6DC-4DEA-AF8F-DFD4A126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6E09"/>
    <w:pPr>
      <w:spacing w:after="0" w:line="240" w:lineRule="auto"/>
    </w:pPr>
    <w:rPr>
      <w:rFonts w:ascii="Garamond" w:eastAsiaTheme="minorEastAsia" w:hAnsi="Garamond" w:cs="Garamon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96E09"/>
    <w:pPr>
      <w:tabs>
        <w:tab w:val="center" w:pos="4819"/>
        <w:tab w:val="right" w:pos="9638"/>
      </w:tabs>
    </w:pPr>
  </w:style>
  <w:style w:type="character" w:customStyle="1" w:styleId="PidipaginaCarattere">
    <w:name w:val="Piè di pagina Carattere"/>
    <w:basedOn w:val="Carpredefinitoparagrafo"/>
    <w:link w:val="Pidipagina"/>
    <w:uiPriority w:val="99"/>
    <w:rsid w:val="00296E09"/>
    <w:rPr>
      <w:rFonts w:ascii="Garamond" w:eastAsiaTheme="minorEastAsia" w:hAnsi="Garamond" w:cs="Garamond"/>
      <w:sz w:val="28"/>
      <w:szCs w:val="28"/>
      <w:lang w:eastAsia="it-IT"/>
    </w:rPr>
  </w:style>
  <w:style w:type="character" w:styleId="Numeropagina">
    <w:name w:val="page number"/>
    <w:basedOn w:val="Carpredefinitoparagrafo"/>
    <w:uiPriority w:val="99"/>
    <w:semiHidden/>
    <w:unhideWhenUsed/>
    <w:rsid w:val="00296E09"/>
  </w:style>
  <w:style w:type="table" w:customStyle="1" w:styleId="TableGrid">
    <w:name w:val="TableGrid"/>
    <w:rsid w:val="00296E09"/>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2372</Words>
  <Characters>13523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Enrico Fontana</cp:lastModifiedBy>
  <cp:revision>2</cp:revision>
  <dcterms:created xsi:type="dcterms:W3CDTF">2023-03-13T16:15:00Z</dcterms:created>
  <dcterms:modified xsi:type="dcterms:W3CDTF">2023-03-13T16:15:00Z</dcterms:modified>
</cp:coreProperties>
</file>